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B6C92" w14:textId="77777777" w:rsidR="00A83336" w:rsidRPr="00A83336" w:rsidRDefault="00A83336" w:rsidP="00A83336">
      <w:pPr>
        <w:spacing w:after="0" w:line="240" w:lineRule="auto"/>
        <w:jc w:val="center"/>
        <w:rPr>
          <w:rFonts w:eastAsia="Calibri" w:cs="Times New Roman"/>
          <w:b/>
        </w:rPr>
      </w:pPr>
      <w:bookmarkStart w:id="0" w:name="_Toc312153951"/>
      <w:bookmarkStart w:id="1" w:name="_Toc441215030"/>
      <w:bookmarkStart w:id="2" w:name="_Toc441215016"/>
      <w:r w:rsidRPr="00A83336">
        <w:rPr>
          <w:rFonts w:eastAsia="Calibri" w:cs="Times New Roman"/>
          <w:b/>
        </w:rPr>
        <w:t>NOTICE OF INTENT</w:t>
      </w:r>
    </w:p>
    <w:p w14:paraId="54610244" w14:textId="77777777" w:rsidR="00A83336" w:rsidRPr="00A83336" w:rsidRDefault="00A83336" w:rsidP="00A83336">
      <w:pPr>
        <w:spacing w:after="0" w:line="240" w:lineRule="auto"/>
        <w:jc w:val="center"/>
        <w:rPr>
          <w:rFonts w:eastAsia="Calibri" w:cs="Times New Roman"/>
        </w:rPr>
      </w:pPr>
    </w:p>
    <w:p w14:paraId="28A0D3C1" w14:textId="77777777" w:rsidR="00A83336" w:rsidRPr="00A83336" w:rsidRDefault="00A83336" w:rsidP="00A83336">
      <w:pPr>
        <w:spacing w:after="0" w:line="240" w:lineRule="auto"/>
        <w:jc w:val="center"/>
        <w:rPr>
          <w:rFonts w:eastAsia="Calibri" w:cs="Times New Roman"/>
          <w:b/>
        </w:rPr>
      </w:pPr>
      <w:r w:rsidRPr="00A83336">
        <w:rPr>
          <w:rFonts w:eastAsia="Calibri" w:cs="Times New Roman"/>
          <w:b/>
        </w:rPr>
        <w:t>Department of Health and Hospitals</w:t>
      </w:r>
    </w:p>
    <w:p w14:paraId="3CE85FEA" w14:textId="77777777" w:rsidR="00A83336" w:rsidRPr="00A83336" w:rsidRDefault="00A83336" w:rsidP="00A83336">
      <w:pPr>
        <w:spacing w:after="0" w:line="240" w:lineRule="auto"/>
        <w:jc w:val="center"/>
        <w:rPr>
          <w:rFonts w:eastAsia="Calibri" w:cs="Times New Roman"/>
          <w:b/>
        </w:rPr>
      </w:pPr>
      <w:r w:rsidRPr="00A83336">
        <w:rPr>
          <w:rFonts w:eastAsia="Calibri" w:cs="Times New Roman"/>
          <w:b/>
        </w:rPr>
        <w:t>Board of Dentistry</w:t>
      </w:r>
    </w:p>
    <w:p w14:paraId="39B474D1" w14:textId="77777777" w:rsidR="00A83336" w:rsidRPr="00A83336" w:rsidRDefault="00A83336" w:rsidP="00A83336">
      <w:pPr>
        <w:spacing w:after="0" w:line="240" w:lineRule="auto"/>
        <w:jc w:val="center"/>
        <w:rPr>
          <w:rFonts w:eastAsia="Calibri" w:cs="Times New Roman"/>
        </w:rPr>
      </w:pPr>
    </w:p>
    <w:p w14:paraId="5AF2437A" w14:textId="6F03C54B" w:rsidR="004B7486" w:rsidRPr="00991391" w:rsidRDefault="004B7486" w:rsidP="00A83336">
      <w:pPr>
        <w:spacing w:after="0" w:line="240" w:lineRule="auto"/>
        <w:jc w:val="center"/>
        <w:rPr>
          <w:rFonts w:eastAsia="Calibri" w:cs="Times New Roman"/>
          <w:sz w:val="22"/>
          <w:szCs w:val="22"/>
        </w:rPr>
      </w:pPr>
      <w:r w:rsidRPr="00991391">
        <w:rPr>
          <w:rFonts w:asciiTheme="minorHAnsi" w:hAnsiTheme="minorHAnsi"/>
          <w:bCs/>
          <w:sz w:val="22"/>
          <w:szCs w:val="22"/>
        </w:rPr>
        <w:t>Continuing Education Requirements</w:t>
      </w:r>
      <w:r w:rsidRPr="00991391">
        <w:rPr>
          <w:rFonts w:eastAsia="Calibri" w:cs="Times New Roman"/>
          <w:sz w:val="22"/>
          <w:szCs w:val="22"/>
        </w:rPr>
        <w:t xml:space="preserve"> </w:t>
      </w:r>
    </w:p>
    <w:p w14:paraId="1B137916" w14:textId="67ACEE5C" w:rsidR="00A83336" w:rsidRPr="00991391" w:rsidRDefault="00A83336" w:rsidP="00A83336">
      <w:pPr>
        <w:spacing w:after="0" w:line="240" w:lineRule="auto"/>
        <w:jc w:val="center"/>
        <w:rPr>
          <w:rFonts w:eastAsia="Calibri" w:cs="Times New Roman"/>
          <w:sz w:val="22"/>
          <w:szCs w:val="22"/>
        </w:rPr>
      </w:pPr>
      <w:r w:rsidRPr="00991391">
        <w:rPr>
          <w:rFonts w:eastAsia="Calibri" w:cs="Times New Roman"/>
          <w:sz w:val="22"/>
          <w:szCs w:val="22"/>
        </w:rPr>
        <w:t>(LAC 46:XXXIII</w:t>
      </w:r>
      <w:r w:rsidR="00CF2ED6">
        <w:rPr>
          <w:rFonts w:eastAsia="Calibri" w:cs="Times New Roman"/>
          <w:sz w:val="22"/>
          <w:szCs w:val="22"/>
        </w:rPr>
        <w:t>.1611.</w:t>
      </w:r>
      <w:r w:rsidR="002678F3">
        <w:rPr>
          <w:rFonts w:eastAsia="Calibri" w:cs="Times New Roman"/>
          <w:sz w:val="22"/>
          <w:szCs w:val="22"/>
        </w:rPr>
        <w:t xml:space="preserve"> and </w:t>
      </w:r>
      <w:r w:rsidR="00CF2ED6">
        <w:rPr>
          <w:rFonts w:eastAsia="Calibri" w:cs="Times New Roman"/>
          <w:sz w:val="22"/>
          <w:szCs w:val="22"/>
        </w:rPr>
        <w:t>.1613</w:t>
      </w:r>
      <w:r w:rsidRPr="00991391">
        <w:rPr>
          <w:rFonts w:eastAsia="Calibri" w:cs="Times New Roman"/>
          <w:sz w:val="22"/>
          <w:szCs w:val="22"/>
        </w:rPr>
        <w:t>)</w:t>
      </w:r>
    </w:p>
    <w:p w14:paraId="55190BB2" w14:textId="77777777" w:rsidR="00A83336" w:rsidRPr="00991391" w:rsidRDefault="00A83336" w:rsidP="00A83336">
      <w:pPr>
        <w:spacing w:after="0" w:line="240" w:lineRule="auto"/>
        <w:rPr>
          <w:rFonts w:eastAsia="Calibri" w:cs="Times New Roman"/>
          <w:sz w:val="22"/>
          <w:szCs w:val="22"/>
        </w:rPr>
      </w:pPr>
    </w:p>
    <w:p w14:paraId="3CE2892D" w14:textId="4D46A90D" w:rsidR="00AB623E" w:rsidRPr="00991391" w:rsidRDefault="00A83336" w:rsidP="005606EF">
      <w:pPr>
        <w:spacing w:after="0" w:line="240" w:lineRule="auto"/>
        <w:ind w:firstLine="720"/>
        <w:jc w:val="both"/>
        <w:rPr>
          <w:rFonts w:asciiTheme="minorHAnsi" w:eastAsia="Calibri" w:hAnsiTheme="minorHAnsi" w:cstheme="minorHAnsi"/>
          <w:sz w:val="22"/>
          <w:szCs w:val="22"/>
        </w:rPr>
      </w:pPr>
      <w:r w:rsidRPr="00991391">
        <w:rPr>
          <w:rFonts w:asciiTheme="minorHAnsi" w:eastAsia="Calibri" w:hAnsiTheme="minorHAnsi" w:cstheme="minorHAnsi"/>
          <w:sz w:val="22"/>
          <w:szCs w:val="22"/>
        </w:rPr>
        <w:t>In accordance with the applicable provisions of the Administrative Procedure Act, R.S. 49:950, et seq., the Dental Practice Act, R.S. 37:751, et seq., and particularly R.S. 37:760 (8), notice is hereby given that the Department of Health and Hospitals, Board of Dentistry intends to amend LAC 46:XXXIII.</w:t>
      </w:r>
      <w:r w:rsidR="00CF2ED6" w:rsidRPr="00CF2ED6">
        <w:rPr>
          <w:rFonts w:eastAsia="Calibri" w:cs="Times New Roman"/>
          <w:sz w:val="22"/>
          <w:szCs w:val="22"/>
        </w:rPr>
        <w:t>1611.</w:t>
      </w:r>
      <w:r w:rsidR="002678F3">
        <w:rPr>
          <w:rFonts w:eastAsia="Calibri" w:cs="Times New Roman"/>
          <w:sz w:val="22"/>
          <w:szCs w:val="22"/>
        </w:rPr>
        <w:t xml:space="preserve"> and </w:t>
      </w:r>
      <w:r w:rsidR="00CF2ED6" w:rsidRPr="00CF2ED6">
        <w:rPr>
          <w:rFonts w:eastAsia="Calibri" w:cs="Times New Roman"/>
          <w:sz w:val="22"/>
          <w:szCs w:val="22"/>
        </w:rPr>
        <w:t>.1613</w:t>
      </w:r>
      <w:r w:rsidR="002678F3">
        <w:rPr>
          <w:rFonts w:eastAsia="Calibri" w:cs="Times New Roman"/>
          <w:sz w:val="22"/>
          <w:szCs w:val="22"/>
        </w:rPr>
        <w:t>.</w:t>
      </w:r>
    </w:p>
    <w:p w14:paraId="3B4B2390" w14:textId="0EB9F081" w:rsidR="00CF2ED6" w:rsidRPr="004B4E37" w:rsidRDefault="00E6043F" w:rsidP="00CC7FAC">
      <w:pPr>
        <w:spacing w:after="0" w:line="240" w:lineRule="auto"/>
        <w:jc w:val="both"/>
        <w:rPr>
          <w:rFonts w:asciiTheme="minorHAnsi" w:eastAsia="Cambria" w:hAnsiTheme="minorHAnsi" w:cstheme="minorHAnsi"/>
          <w:bCs/>
          <w:sz w:val="22"/>
          <w:szCs w:val="22"/>
        </w:rPr>
      </w:pPr>
      <w:bookmarkStart w:id="3" w:name="_Hlk96425062"/>
      <w:r w:rsidRPr="001160DE">
        <w:rPr>
          <w:rFonts w:asciiTheme="minorHAnsi" w:eastAsia="Calibri" w:hAnsiTheme="minorHAnsi" w:cstheme="minorHAnsi"/>
          <w:sz w:val="22"/>
          <w:szCs w:val="22"/>
        </w:rPr>
        <w:tab/>
      </w:r>
      <w:r w:rsidR="00331C91" w:rsidRPr="00AB266C">
        <w:rPr>
          <w:rFonts w:asciiTheme="minorHAnsi" w:eastAsia="Times New Roman" w:hAnsiTheme="minorHAnsi" w:cstheme="minorHAnsi"/>
        </w:rPr>
        <w:t xml:space="preserve"> </w:t>
      </w:r>
      <w:bookmarkEnd w:id="3"/>
    </w:p>
    <w:p w14:paraId="344E56E8" w14:textId="0E5E178D" w:rsidR="00CF2ED6" w:rsidRPr="00627F12" w:rsidRDefault="00CF2ED6" w:rsidP="00CC7FAC">
      <w:pPr>
        <w:spacing w:after="0" w:line="240" w:lineRule="auto"/>
        <w:jc w:val="both"/>
        <w:rPr>
          <w:rFonts w:asciiTheme="minorHAnsi" w:hAnsiTheme="minorHAnsi" w:cstheme="minorHAnsi"/>
          <w:sz w:val="22"/>
          <w:szCs w:val="22"/>
        </w:rPr>
      </w:pPr>
      <w:r w:rsidRPr="004B4E37">
        <w:rPr>
          <w:rFonts w:asciiTheme="minorHAnsi" w:eastAsia="Cambria" w:hAnsiTheme="minorHAnsi" w:cstheme="minorHAnsi"/>
          <w:bCs/>
          <w:sz w:val="22"/>
          <w:szCs w:val="22"/>
        </w:rPr>
        <w:tab/>
      </w:r>
      <w:r w:rsidRPr="004B4E37">
        <w:rPr>
          <w:rFonts w:asciiTheme="minorHAnsi" w:eastAsia="Times New Roman" w:hAnsiTheme="minorHAnsi" w:cstheme="minorHAnsi"/>
          <w:sz w:val="22"/>
          <w:szCs w:val="22"/>
        </w:rPr>
        <w:t xml:space="preserve">The Louisiana State Board of </w:t>
      </w:r>
      <w:r w:rsidR="00627F12" w:rsidRPr="004B4E37">
        <w:rPr>
          <w:rFonts w:asciiTheme="minorHAnsi" w:eastAsia="Times New Roman" w:hAnsiTheme="minorHAnsi" w:cstheme="minorHAnsi"/>
          <w:sz w:val="22"/>
          <w:szCs w:val="22"/>
        </w:rPr>
        <w:t>Dentistry</w:t>
      </w:r>
      <w:r w:rsidRPr="004B4E37">
        <w:rPr>
          <w:rFonts w:asciiTheme="minorHAnsi" w:eastAsia="Times New Roman" w:hAnsiTheme="minorHAnsi" w:cstheme="minorHAnsi"/>
          <w:sz w:val="22"/>
          <w:szCs w:val="22"/>
        </w:rPr>
        <w:t xml:space="preserve"> </w:t>
      </w:r>
      <w:r w:rsidR="00627F12">
        <w:rPr>
          <w:rFonts w:asciiTheme="minorHAnsi" w:eastAsia="Times New Roman" w:hAnsiTheme="minorHAnsi" w:cstheme="minorHAnsi"/>
          <w:sz w:val="22"/>
          <w:szCs w:val="22"/>
        </w:rPr>
        <w:t xml:space="preserve">is </w:t>
      </w:r>
      <w:r w:rsidRPr="004B4E37">
        <w:rPr>
          <w:rFonts w:asciiTheme="minorHAnsi" w:eastAsia="Times New Roman" w:hAnsiTheme="minorHAnsi" w:cstheme="minorHAnsi"/>
          <w:sz w:val="22"/>
          <w:szCs w:val="22"/>
        </w:rPr>
        <w:t xml:space="preserve">amending LAC 46:XXXIII.1611 </w:t>
      </w:r>
      <w:bookmarkStart w:id="4" w:name="_Hlk187319959"/>
      <w:r w:rsidR="00627F12" w:rsidRPr="00627F12">
        <w:rPr>
          <w:rFonts w:asciiTheme="minorHAnsi" w:hAnsiTheme="minorHAnsi" w:cstheme="minorHAnsi"/>
          <w:sz w:val="22"/>
          <w:szCs w:val="22"/>
        </w:rPr>
        <w:t>to allow dentists to receive 3.5 hours of personally attended clinical continuing education for serving on a Medical Review Panel but not to exceed 7 hours annually.</w:t>
      </w:r>
      <w:bookmarkEnd w:id="4"/>
    </w:p>
    <w:p w14:paraId="03381A81" w14:textId="77777777" w:rsidR="00CF2ED6" w:rsidRPr="00AB266C" w:rsidRDefault="00CF2ED6" w:rsidP="00CC7FAC">
      <w:pPr>
        <w:spacing w:after="0" w:line="240" w:lineRule="auto"/>
        <w:jc w:val="both"/>
        <w:rPr>
          <w:rFonts w:asciiTheme="minorHAnsi" w:eastAsia="Cambria" w:hAnsiTheme="minorHAnsi" w:cstheme="minorHAnsi"/>
          <w:bCs/>
          <w:sz w:val="22"/>
          <w:szCs w:val="22"/>
        </w:rPr>
      </w:pPr>
    </w:p>
    <w:p w14:paraId="3DE9E0CF" w14:textId="455CA758" w:rsidR="00846D60" w:rsidRPr="004B4E37" w:rsidRDefault="00CF2ED6" w:rsidP="00CF2ED6">
      <w:pPr>
        <w:spacing w:after="0" w:line="240" w:lineRule="auto"/>
        <w:ind w:firstLine="720"/>
        <w:jc w:val="both"/>
        <w:rPr>
          <w:rFonts w:asciiTheme="minorHAnsi" w:eastAsia="Cambria" w:hAnsiTheme="minorHAnsi" w:cstheme="minorHAnsi"/>
          <w:bCs/>
          <w:sz w:val="22"/>
          <w:szCs w:val="22"/>
        </w:rPr>
      </w:pPr>
      <w:r w:rsidRPr="004B4E37">
        <w:rPr>
          <w:rFonts w:asciiTheme="minorHAnsi" w:eastAsia="Times New Roman" w:hAnsiTheme="minorHAnsi" w:cstheme="minorHAnsi"/>
          <w:sz w:val="22"/>
          <w:szCs w:val="22"/>
        </w:rPr>
        <w:t xml:space="preserve">The Louisiana State Board of Dentistry is amending LAC 46:XXXIII.1613 </w:t>
      </w:r>
      <w:r w:rsidR="00627F12" w:rsidRPr="00627F12">
        <w:rPr>
          <w:rFonts w:asciiTheme="minorHAnsi" w:hAnsiTheme="minorHAnsi" w:cstheme="minorHAnsi"/>
          <w:sz w:val="22"/>
          <w:szCs w:val="22"/>
        </w:rPr>
        <w:t>to allow dental hygienists to receive 3.5 hours of personally attended clinical continuing education for serving on a Medical Review Panel but not to exceed 7 hours annually</w:t>
      </w:r>
      <w:r w:rsidR="00627F12">
        <w:rPr>
          <w:rFonts w:asciiTheme="minorHAnsi" w:hAnsiTheme="minorHAnsi" w:cstheme="minorHAnsi"/>
          <w:sz w:val="22"/>
          <w:szCs w:val="22"/>
        </w:rPr>
        <w:t>.</w:t>
      </w:r>
    </w:p>
    <w:p w14:paraId="730A635D" w14:textId="77777777" w:rsidR="00CF2ED6" w:rsidRPr="00AB266C" w:rsidRDefault="00CF2ED6" w:rsidP="00CF2ED6">
      <w:pPr>
        <w:spacing w:after="0" w:line="240" w:lineRule="auto"/>
        <w:ind w:firstLine="720"/>
        <w:jc w:val="both"/>
        <w:rPr>
          <w:rFonts w:asciiTheme="minorHAnsi" w:eastAsia="Cambria" w:hAnsiTheme="minorHAnsi" w:cstheme="minorHAnsi"/>
          <w:bCs/>
        </w:rPr>
      </w:pPr>
    </w:p>
    <w:bookmarkEnd w:id="0"/>
    <w:bookmarkEnd w:id="1"/>
    <w:bookmarkEnd w:id="2"/>
    <w:p w14:paraId="599E3A86" w14:textId="77777777" w:rsidR="00CF2ED6" w:rsidRDefault="00CF2ED6" w:rsidP="00161F73">
      <w:pPr>
        <w:spacing w:before="100" w:beforeAutospacing="1" w:after="100" w:afterAutospacing="1" w:line="240" w:lineRule="auto"/>
        <w:contextualSpacing/>
        <w:jc w:val="center"/>
        <w:rPr>
          <w:rFonts w:eastAsia="Times New Roman" w:cs="Times New Roman"/>
          <w:sz w:val="22"/>
          <w:szCs w:val="22"/>
        </w:rPr>
      </w:pPr>
    </w:p>
    <w:p w14:paraId="56856650" w14:textId="77777777" w:rsidR="00CF2ED6" w:rsidRPr="00794699" w:rsidRDefault="00CF2ED6" w:rsidP="00CF2ED6">
      <w:pPr>
        <w:tabs>
          <w:tab w:val="left" w:pos="1980"/>
          <w:tab w:val="left" w:pos="4860"/>
        </w:tabs>
        <w:suppressAutoHyphens/>
        <w:autoSpaceDN w:val="0"/>
        <w:spacing w:after="0" w:line="240" w:lineRule="auto"/>
        <w:jc w:val="center"/>
        <w:rPr>
          <w:rFonts w:eastAsia="Times New Roman" w:cs="Times New Roman"/>
          <w:b/>
        </w:rPr>
      </w:pPr>
      <w:r w:rsidRPr="00794699">
        <w:rPr>
          <w:rFonts w:eastAsia="Times New Roman" w:cs="Times New Roman"/>
          <w:b/>
        </w:rPr>
        <w:t>Title 46</w:t>
      </w:r>
    </w:p>
    <w:p w14:paraId="56B2FA08" w14:textId="77777777" w:rsidR="00CF2ED6" w:rsidRPr="00794699" w:rsidRDefault="00CF2ED6" w:rsidP="00CF2ED6">
      <w:pPr>
        <w:tabs>
          <w:tab w:val="left" w:pos="1980"/>
          <w:tab w:val="left" w:pos="4860"/>
        </w:tabs>
        <w:suppressAutoHyphens/>
        <w:autoSpaceDN w:val="0"/>
        <w:spacing w:after="0" w:line="240" w:lineRule="auto"/>
        <w:jc w:val="center"/>
        <w:rPr>
          <w:rFonts w:eastAsia="Times New Roman" w:cs="Times New Roman"/>
          <w:b/>
        </w:rPr>
      </w:pPr>
      <w:r w:rsidRPr="00794699">
        <w:rPr>
          <w:rFonts w:eastAsia="Times New Roman" w:cs="Times New Roman"/>
          <w:b/>
        </w:rPr>
        <w:t>PROFESSIONAL AND OCCUPATIONAL</w:t>
      </w:r>
    </w:p>
    <w:p w14:paraId="2B2EDF1F" w14:textId="77777777" w:rsidR="00CF2ED6" w:rsidRPr="00794699" w:rsidRDefault="00CF2ED6" w:rsidP="00CF2ED6">
      <w:pPr>
        <w:tabs>
          <w:tab w:val="left" w:pos="1980"/>
          <w:tab w:val="left" w:pos="4860"/>
        </w:tabs>
        <w:suppressAutoHyphens/>
        <w:autoSpaceDN w:val="0"/>
        <w:spacing w:after="0" w:line="240" w:lineRule="auto"/>
        <w:jc w:val="center"/>
        <w:rPr>
          <w:rFonts w:eastAsia="Times New Roman" w:cs="Times New Roman"/>
          <w:b/>
        </w:rPr>
      </w:pPr>
      <w:r w:rsidRPr="00794699">
        <w:rPr>
          <w:rFonts w:eastAsia="Times New Roman" w:cs="Times New Roman"/>
          <w:b/>
        </w:rPr>
        <w:t>STANDARDS</w:t>
      </w:r>
    </w:p>
    <w:p w14:paraId="4032766A" w14:textId="77777777" w:rsidR="00CF2ED6" w:rsidRPr="00794699" w:rsidRDefault="00CF2ED6" w:rsidP="00CF2ED6">
      <w:pPr>
        <w:tabs>
          <w:tab w:val="left" w:pos="1980"/>
          <w:tab w:val="left" w:pos="4860"/>
        </w:tabs>
        <w:suppressAutoHyphens/>
        <w:autoSpaceDN w:val="0"/>
        <w:spacing w:after="0" w:line="240" w:lineRule="auto"/>
        <w:jc w:val="center"/>
        <w:rPr>
          <w:rFonts w:asciiTheme="minorHAnsi" w:eastAsia="Times New Roman" w:hAnsiTheme="minorHAnsi" w:cs="Times New Roman"/>
          <w:b/>
          <w:sz w:val="22"/>
          <w:szCs w:val="22"/>
        </w:rPr>
      </w:pPr>
      <w:r w:rsidRPr="00794699">
        <w:rPr>
          <w:rFonts w:asciiTheme="minorHAnsi" w:eastAsia="Times New Roman" w:hAnsiTheme="minorHAnsi" w:cs="Times New Roman"/>
          <w:b/>
          <w:sz w:val="22"/>
          <w:szCs w:val="22"/>
        </w:rPr>
        <w:t>Part XXXIII.  Dental Health Profession</w:t>
      </w:r>
    </w:p>
    <w:p w14:paraId="4F5E8A22" w14:textId="3F40DBE9" w:rsidR="00CF2ED6" w:rsidRDefault="00846D60" w:rsidP="00CF2ED6">
      <w:pPr>
        <w:spacing w:before="100" w:beforeAutospacing="1" w:after="100" w:afterAutospacing="1" w:line="240" w:lineRule="auto"/>
        <w:contextualSpacing/>
        <w:jc w:val="center"/>
        <w:rPr>
          <w:b/>
          <w:bCs/>
          <w:color w:val="000000"/>
          <w:sz w:val="22"/>
          <w:szCs w:val="22"/>
        </w:rPr>
      </w:pPr>
      <w:r w:rsidRPr="00846D60">
        <w:rPr>
          <w:b/>
          <w:bCs/>
          <w:color w:val="000000"/>
          <w:sz w:val="22"/>
          <w:szCs w:val="22"/>
        </w:rPr>
        <w:t>Chapter 16. Continuing Education Requirements</w:t>
      </w:r>
    </w:p>
    <w:p w14:paraId="47BA6447" w14:textId="77777777" w:rsidR="00846D60" w:rsidRDefault="00846D60" w:rsidP="00CF2ED6">
      <w:pPr>
        <w:spacing w:before="100" w:beforeAutospacing="1" w:after="100" w:afterAutospacing="1" w:line="240" w:lineRule="auto"/>
        <w:contextualSpacing/>
        <w:jc w:val="center"/>
        <w:rPr>
          <w:b/>
          <w:bCs/>
          <w:color w:val="000000"/>
          <w:sz w:val="22"/>
          <w:szCs w:val="22"/>
        </w:rPr>
      </w:pPr>
    </w:p>
    <w:p w14:paraId="17A1DFD4" w14:textId="15A64C40" w:rsidR="00846D60" w:rsidRDefault="00846D60" w:rsidP="00846D60">
      <w:pPr>
        <w:spacing w:after="160" w:line="256" w:lineRule="auto"/>
        <w:rPr>
          <w:rFonts w:eastAsia="Aptos" w:cs="Times New Roman"/>
          <w:b/>
          <w:bCs/>
          <w:kern w:val="2"/>
          <w:sz w:val="22"/>
          <w:szCs w:val="22"/>
          <w14:ligatures w14:val="standardContextual"/>
        </w:rPr>
      </w:pPr>
      <w:r w:rsidRPr="00846D60">
        <w:rPr>
          <w:rFonts w:eastAsia="Aptos" w:cs="Times New Roman"/>
          <w:b/>
          <w:bCs/>
          <w:kern w:val="2"/>
          <w:sz w:val="22"/>
          <w:szCs w:val="22"/>
          <w14:ligatures w14:val="standardContextual"/>
        </w:rPr>
        <w:t>§1611.</w:t>
      </w:r>
      <w:r w:rsidR="00BA3B6A">
        <w:rPr>
          <w:rFonts w:eastAsia="Aptos" w:cs="Times New Roman"/>
          <w:b/>
          <w:bCs/>
          <w:kern w:val="2"/>
          <w:sz w:val="22"/>
          <w:szCs w:val="22"/>
          <w14:ligatures w14:val="standardContextual"/>
        </w:rPr>
        <w:tab/>
      </w:r>
      <w:r w:rsidRPr="00846D60">
        <w:rPr>
          <w:rFonts w:eastAsia="Aptos" w:cs="Times New Roman"/>
          <w:b/>
          <w:bCs/>
          <w:kern w:val="2"/>
          <w:sz w:val="22"/>
          <w:szCs w:val="22"/>
          <w14:ligatures w14:val="standardContextual"/>
        </w:rPr>
        <w:t>Continuing Education Requirements for Relicensure of Dentists</w:t>
      </w:r>
    </w:p>
    <w:p w14:paraId="0C14D2CC" w14:textId="1D788CA8" w:rsidR="0095076B" w:rsidRPr="0095076B" w:rsidRDefault="0095076B" w:rsidP="0095076B">
      <w:pPr>
        <w:spacing w:after="160" w:line="259" w:lineRule="auto"/>
        <w:jc w:val="both"/>
        <w:rPr>
          <w:rFonts w:eastAsia="Aptos" w:cs="Times New Roman"/>
          <w:kern w:val="2"/>
          <w:sz w:val="22"/>
          <w:szCs w:val="22"/>
          <w14:ligatures w14:val="standardContextual"/>
        </w:rPr>
      </w:pPr>
      <w:r w:rsidRPr="0095076B">
        <w:rPr>
          <w:rFonts w:eastAsia="Aptos" w:cs="Times New Roman"/>
          <w:kern w:val="2"/>
          <w:sz w:val="22"/>
          <w:szCs w:val="22"/>
          <w14:ligatures w14:val="standardContextual"/>
        </w:rPr>
        <w:t>A</w:t>
      </w:r>
      <w:r w:rsidR="00C5798B">
        <w:rPr>
          <w:rFonts w:eastAsia="Aptos" w:cs="Times New Roman"/>
          <w:kern w:val="2"/>
          <w:sz w:val="22"/>
          <w:szCs w:val="22"/>
          <w14:ligatures w14:val="standardContextual"/>
        </w:rPr>
        <w:t>.1. – C.2</w:t>
      </w:r>
      <w:r w:rsidRPr="0095076B">
        <w:rPr>
          <w:rFonts w:eastAsia="Aptos" w:cs="Times New Roman"/>
          <w:kern w:val="2"/>
          <w:sz w:val="22"/>
          <w:szCs w:val="22"/>
          <w14:ligatures w14:val="standardContextual"/>
        </w:rPr>
        <w:t>.</w:t>
      </w:r>
      <w:r w:rsidR="00627F12">
        <w:rPr>
          <w:rFonts w:eastAsia="Aptos" w:cs="Times New Roman"/>
          <w:kern w:val="2"/>
          <w:sz w:val="22"/>
          <w:szCs w:val="22"/>
          <w14:ligatures w14:val="standardContextual"/>
        </w:rPr>
        <w:t xml:space="preserve"> …</w:t>
      </w:r>
    </w:p>
    <w:p w14:paraId="2207D755" w14:textId="731DEDB8" w:rsidR="0095076B" w:rsidRPr="0095076B" w:rsidRDefault="0095076B" w:rsidP="0095076B">
      <w:pPr>
        <w:spacing w:after="160" w:line="259" w:lineRule="auto"/>
        <w:jc w:val="both"/>
        <w:rPr>
          <w:rFonts w:eastAsia="Aptos" w:cs="Times New Roman"/>
          <w:b/>
          <w:bCs/>
          <w:kern w:val="2"/>
          <w:sz w:val="22"/>
          <w:szCs w:val="22"/>
          <w:u w:val="single"/>
          <w14:ligatures w14:val="standardContextual"/>
        </w:rPr>
      </w:pPr>
      <w:r w:rsidRPr="0095076B">
        <w:rPr>
          <w:rFonts w:eastAsia="Aptos" w:cs="Times New Roman"/>
          <w:b/>
          <w:bCs/>
          <w:kern w:val="2"/>
          <w:sz w:val="22"/>
          <w:szCs w:val="22"/>
          <w:u w:val="single"/>
          <w14:ligatures w14:val="standardContextual"/>
        </w:rPr>
        <w:t>3. Dentists are allowed to receive 3.5 hours of personally attended clinical continuing dental education for service on a Medical Review Panel established pursuant to La. R.S. 40:1231.8 or La. R.S. 40:1237.2. No more than 7 hours of continuing dental education may be credited for service on a Medical Review Panel annually.</w:t>
      </w:r>
    </w:p>
    <w:p w14:paraId="21DCA6A1" w14:textId="1EEDB6F1" w:rsidR="0095076B" w:rsidRPr="0095076B" w:rsidRDefault="0095076B" w:rsidP="0095076B">
      <w:pPr>
        <w:spacing w:after="160" w:line="259" w:lineRule="auto"/>
        <w:jc w:val="both"/>
        <w:rPr>
          <w:rFonts w:eastAsia="Aptos" w:cs="Times New Roman"/>
          <w:kern w:val="2"/>
          <w:sz w:val="22"/>
          <w:szCs w:val="22"/>
          <w14:ligatures w14:val="standardContextual"/>
        </w:rPr>
      </w:pPr>
      <w:r w:rsidRPr="0095076B">
        <w:rPr>
          <w:rFonts w:eastAsia="Aptos" w:cs="Times New Roman"/>
          <w:kern w:val="2"/>
          <w:sz w:val="22"/>
          <w:szCs w:val="22"/>
          <w14:ligatures w14:val="standardContextual"/>
        </w:rPr>
        <w:t>D.</w:t>
      </w:r>
      <w:r w:rsidR="00C5798B">
        <w:rPr>
          <w:rFonts w:eastAsia="Aptos" w:cs="Times New Roman"/>
          <w:kern w:val="2"/>
          <w:sz w:val="22"/>
          <w:szCs w:val="22"/>
          <w14:ligatures w14:val="standardContextual"/>
        </w:rPr>
        <w:t xml:space="preserve"> </w:t>
      </w:r>
      <w:r w:rsidR="00627F12">
        <w:rPr>
          <w:rFonts w:eastAsia="Aptos" w:cs="Times New Roman"/>
          <w:kern w:val="2"/>
          <w:sz w:val="22"/>
          <w:szCs w:val="22"/>
          <w14:ligatures w14:val="standardContextual"/>
        </w:rPr>
        <w:t>– J.  …</w:t>
      </w:r>
    </w:p>
    <w:p w14:paraId="602F84D1" w14:textId="0DF24AFB" w:rsidR="009845FF" w:rsidRPr="009845FF" w:rsidRDefault="009845FF" w:rsidP="00824D3B">
      <w:pPr>
        <w:spacing w:after="0" w:line="240" w:lineRule="auto"/>
        <w:ind w:firstLine="720"/>
        <w:jc w:val="both"/>
        <w:rPr>
          <w:rFonts w:eastAsia="Aptos" w:cs="Times New Roman"/>
          <w:kern w:val="2"/>
          <w:sz w:val="20"/>
          <w:szCs w:val="20"/>
          <w14:ligatures w14:val="standardContextual"/>
        </w:rPr>
      </w:pPr>
      <w:r w:rsidRPr="009845FF">
        <w:rPr>
          <w:rFonts w:eastAsia="Aptos" w:cs="Times New Roman"/>
          <w:kern w:val="2"/>
          <w:sz w:val="20"/>
          <w:szCs w:val="20"/>
          <w14:ligatures w14:val="standardContextual"/>
        </w:rPr>
        <w:t>AUTHORITY NOTE:</w:t>
      </w:r>
      <w:r w:rsidR="00BA3B6A">
        <w:rPr>
          <w:rFonts w:eastAsia="Aptos" w:cs="Times New Roman"/>
          <w:kern w:val="2"/>
          <w:sz w:val="20"/>
          <w:szCs w:val="20"/>
          <w14:ligatures w14:val="standardContextual"/>
        </w:rPr>
        <w:tab/>
      </w:r>
      <w:r w:rsidRPr="009845FF">
        <w:rPr>
          <w:rFonts w:eastAsia="Aptos" w:cs="Times New Roman"/>
          <w:kern w:val="2"/>
          <w:sz w:val="20"/>
          <w:szCs w:val="20"/>
          <w14:ligatures w14:val="standardContextual"/>
        </w:rPr>
        <w:t>Promulgated in accordance with R.S. 37:760(8) and (13)</w:t>
      </w:r>
      <w:r>
        <w:rPr>
          <w:rFonts w:eastAsia="Aptos" w:cs="Times New Roman"/>
          <w:kern w:val="2"/>
          <w:sz w:val="20"/>
          <w:szCs w:val="20"/>
          <w14:ligatures w14:val="standardContextual"/>
        </w:rPr>
        <w:t>.</w:t>
      </w:r>
    </w:p>
    <w:p w14:paraId="1A072816" w14:textId="775FE649" w:rsidR="00627F12" w:rsidRDefault="009845FF" w:rsidP="009845FF">
      <w:pPr>
        <w:spacing w:after="0" w:line="240" w:lineRule="auto"/>
        <w:ind w:left="720"/>
        <w:jc w:val="both"/>
        <w:rPr>
          <w:rFonts w:eastAsia="Aptos" w:cs="Times New Roman"/>
          <w:kern w:val="2"/>
          <w:sz w:val="20"/>
          <w:szCs w:val="20"/>
          <w14:ligatures w14:val="standardContextual"/>
        </w:rPr>
      </w:pPr>
      <w:r w:rsidRPr="009845FF">
        <w:rPr>
          <w:rFonts w:eastAsia="Aptos" w:cs="Times New Roman"/>
          <w:kern w:val="2"/>
          <w:sz w:val="20"/>
          <w:szCs w:val="20"/>
          <w14:ligatures w14:val="standardContextual"/>
        </w:rPr>
        <w:t>HISTORICAL NOTE:</w:t>
      </w:r>
      <w:r w:rsidR="00BA3B6A">
        <w:rPr>
          <w:rFonts w:eastAsia="Aptos" w:cs="Times New Roman"/>
          <w:kern w:val="2"/>
          <w:sz w:val="20"/>
          <w:szCs w:val="20"/>
          <w14:ligatures w14:val="standardContextual"/>
        </w:rPr>
        <w:tab/>
      </w:r>
      <w:r w:rsidRPr="009845FF">
        <w:rPr>
          <w:rFonts w:eastAsia="Aptos" w:cs="Times New Roman"/>
          <w:kern w:val="2"/>
          <w:sz w:val="20"/>
          <w:szCs w:val="20"/>
          <w14:ligatures w14:val="standardContextual"/>
        </w:rPr>
        <w:t>Promulgated by the Department of Health and Hospitals, Board of Dentistry, LR 20:661 (June 1994), amended LR 21:569 (June 1995), LR 22:24 (January 1996), LR 22:1216 (December 1996), LR 23:1526 (November 1997), LR 24:1117 (June 1998), LR 25:510 (March 1999), LR 26:489 (March 2000), LR 30:2307 (October 2004), LR 32:244 (February 2006), LR 35:1237 (July 2009), LR 36:2038 (September 2010), LR 37:2151 (July 2011), LR 37:3515 (December 2011), repromulgated LR 38:356 (February 2012), amended LR 38:817 (March 2012), LR 38:1959 (August 2012), LR 39:1282 (May 2013), amended by the Department of Health, Board of Dentistry, LR 43:956 (May 2017), amended by the Department of Health, Board of Dentistry, LR 44:47 (January 2018), LR 50:210 (February 2024)</w:t>
      </w:r>
      <w:r>
        <w:rPr>
          <w:rFonts w:eastAsia="Aptos" w:cs="Times New Roman"/>
          <w:kern w:val="2"/>
          <w:sz w:val="20"/>
          <w:szCs w:val="20"/>
          <w14:ligatures w14:val="standardContextual"/>
        </w:rPr>
        <w:t xml:space="preserve">, </w:t>
      </w:r>
      <w:r w:rsidR="002678F3" w:rsidRPr="002678F3">
        <w:rPr>
          <w:rFonts w:eastAsia="Aptos" w:cs="Times New Roman"/>
          <w:kern w:val="2"/>
          <w:sz w:val="20"/>
          <w:szCs w:val="20"/>
          <w14:ligatures w14:val="standardContextual"/>
        </w:rPr>
        <w:t>LR 51:787 (June 2025)</w:t>
      </w:r>
      <w:r w:rsidR="002678F3">
        <w:rPr>
          <w:rFonts w:eastAsia="Aptos" w:cs="Times New Roman"/>
          <w:kern w:val="2"/>
          <w:sz w:val="20"/>
          <w:szCs w:val="20"/>
          <w14:ligatures w14:val="standardContextual"/>
        </w:rPr>
        <w:t>, LR</w:t>
      </w:r>
    </w:p>
    <w:p w14:paraId="35126685" w14:textId="77777777" w:rsidR="00627F12" w:rsidRDefault="00627F12">
      <w:pPr>
        <w:rPr>
          <w:rFonts w:eastAsia="Aptos" w:cs="Times New Roman"/>
          <w:kern w:val="2"/>
          <w:sz w:val="20"/>
          <w:szCs w:val="20"/>
          <w14:ligatures w14:val="standardContextual"/>
        </w:rPr>
      </w:pPr>
      <w:r>
        <w:rPr>
          <w:rFonts w:eastAsia="Aptos" w:cs="Times New Roman"/>
          <w:kern w:val="2"/>
          <w:sz w:val="20"/>
          <w:szCs w:val="20"/>
          <w14:ligatures w14:val="standardContextual"/>
        </w:rPr>
        <w:br w:type="page"/>
      </w:r>
    </w:p>
    <w:p w14:paraId="74178E7F" w14:textId="1714A1CC" w:rsidR="009845FF" w:rsidRDefault="009845FF" w:rsidP="009845FF">
      <w:pPr>
        <w:spacing w:after="0" w:line="240" w:lineRule="auto"/>
        <w:jc w:val="both"/>
        <w:rPr>
          <w:rFonts w:eastAsia="Aptos" w:cs="Times New Roman"/>
          <w:b/>
          <w:bCs/>
          <w:kern w:val="2"/>
          <w:sz w:val="22"/>
          <w:szCs w:val="22"/>
          <w14:ligatures w14:val="standardContextual"/>
        </w:rPr>
      </w:pPr>
      <w:r w:rsidRPr="009845FF">
        <w:rPr>
          <w:rFonts w:eastAsia="Aptos" w:cs="Times New Roman"/>
          <w:b/>
          <w:bCs/>
          <w:kern w:val="2"/>
          <w:sz w:val="22"/>
          <w:szCs w:val="22"/>
          <w14:ligatures w14:val="standardContextual"/>
        </w:rPr>
        <w:lastRenderedPageBreak/>
        <w:t>§1613.</w:t>
      </w:r>
      <w:r w:rsidR="00BA3B6A">
        <w:rPr>
          <w:rFonts w:eastAsia="Aptos" w:cs="Times New Roman"/>
          <w:b/>
          <w:bCs/>
          <w:kern w:val="2"/>
          <w:sz w:val="22"/>
          <w:szCs w:val="22"/>
          <w14:ligatures w14:val="standardContextual"/>
        </w:rPr>
        <w:tab/>
      </w:r>
      <w:r w:rsidRPr="009845FF">
        <w:rPr>
          <w:rFonts w:eastAsia="Aptos" w:cs="Times New Roman"/>
          <w:b/>
          <w:bCs/>
          <w:kern w:val="2"/>
          <w:sz w:val="22"/>
          <w:szCs w:val="22"/>
          <w14:ligatures w14:val="standardContextual"/>
        </w:rPr>
        <w:t>Continuing Education Requirements for Relicensure of Dental Hygienists</w:t>
      </w:r>
    </w:p>
    <w:p w14:paraId="276F12FE" w14:textId="77777777" w:rsidR="00627F12" w:rsidRDefault="00627F12" w:rsidP="009845FF">
      <w:pPr>
        <w:spacing w:after="0" w:line="240" w:lineRule="auto"/>
        <w:jc w:val="both"/>
        <w:rPr>
          <w:rFonts w:eastAsia="Aptos" w:cs="Times New Roman"/>
          <w:b/>
          <w:bCs/>
          <w:kern w:val="2"/>
          <w:sz w:val="22"/>
          <w:szCs w:val="22"/>
          <w14:ligatures w14:val="standardContextual"/>
        </w:rPr>
      </w:pPr>
    </w:p>
    <w:p w14:paraId="3D8100B0" w14:textId="5E7B9F76" w:rsidR="00627F12" w:rsidRPr="00627F12" w:rsidRDefault="00627F12" w:rsidP="00627F12">
      <w:pPr>
        <w:spacing w:after="160" w:line="259" w:lineRule="auto"/>
        <w:jc w:val="both"/>
        <w:rPr>
          <w:rFonts w:eastAsia="Aptos" w:cs="Times New Roman"/>
          <w:kern w:val="2"/>
          <w:sz w:val="22"/>
          <w:szCs w:val="22"/>
          <w14:ligatures w14:val="standardContextual"/>
        </w:rPr>
      </w:pPr>
      <w:r w:rsidRPr="00627F12">
        <w:rPr>
          <w:rFonts w:eastAsia="Aptos" w:cs="Times New Roman"/>
          <w:kern w:val="2"/>
          <w:sz w:val="22"/>
          <w:szCs w:val="22"/>
          <w14:ligatures w14:val="standardContextual"/>
        </w:rPr>
        <w:t>A.</w:t>
      </w:r>
      <w:r>
        <w:rPr>
          <w:rFonts w:eastAsia="Aptos" w:cs="Times New Roman"/>
          <w:kern w:val="2"/>
          <w:sz w:val="22"/>
          <w:szCs w:val="22"/>
          <w14:ligatures w14:val="standardContextual"/>
        </w:rPr>
        <w:t xml:space="preserve"> – D.2. …</w:t>
      </w:r>
    </w:p>
    <w:p w14:paraId="19043FC6" w14:textId="77777777" w:rsidR="00627F12" w:rsidRPr="00627F12" w:rsidRDefault="00627F12" w:rsidP="00627F12">
      <w:pPr>
        <w:spacing w:after="160" w:line="259" w:lineRule="auto"/>
        <w:jc w:val="both"/>
        <w:rPr>
          <w:rFonts w:eastAsia="Aptos" w:cs="Times New Roman"/>
          <w:b/>
          <w:bCs/>
          <w:kern w:val="2"/>
          <w:sz w:val="22"/>
          <w:szCs w:val="22"/>
          <w:u w:val="single"/>
          <w14:ligatures w14:val="standardContextual"/>
        </w:rPr>
      </w:pPr>
      <w:r w:rsidRPr="00627F12">
        <w:rPr>
          <w:rFonts w:eastAsia="Aptos" w:cs="Times New Roman"/>
          <w:b/>
          <w:bCs/>
          <w:kern w:val="2"/>
          <w:sz w:val="22"/>
          <w:szCs w:val="22"/>
          <w:u w:val="single"/>
          <w14:ligatures w14:val="standardContextual"/>
        </w:rPr>
        <w:t>3. Hygienists are allowed to receive 3.5 hours of personally attended clinical continuing dental education for service on a Medical Review Panel established pursuant to La. R.S. 40:1231.8 or La. R.S. 40:1237.2. No more than 7 hours of continuing dental education may be credited for service on a Medical Review Panel annually.</w:t>
      </w:r>
    </w:p>
    <w:p w14:paraId="530F4E9E" w14:textId="7D2CA59A" w:rsidR="00627F12" w:rsidRPr="00627F12" w:rsidRDefault="00627F12" w:rsidP="00627F12">
      <w:pPr>
        <w:spacing w:after="160" w:line="259" w:lineRule="auto"/>
        <w:jc w:val="both"/>
        <w:rPr>
          <w:rFonts w:eastAsia="Aptos" w:cs="Times New Roman"/>
          <w:kern w:val="2"/>
          <w:sz w:val="22"/>
          <w:szCs w:val="22"/>
          <w14:ligatures w14:val="standardContextual"/>
        </w:rPr>
      </w:pPr>
      <w:r w:rsidRPr="00627F12">
        <w:rPr>
          <w:rFonts w:eastAsia="Aptos" w:cs="Times New Roman"/>
          <w:kern w:val="2"/>
          <w:sz w:val="22"/>
          <w:szCs w:val="22"/>
          <w14:ligatures w14:val="standardContextual"/>
        </w:rPr>
        <w:t>E.</w:t>
      </w:r>
      <w:r>
        <w:rPr>
          <w:rFonts w:eastAsia="Aptos" w:cs="Times New Roman"/>
          <w:kern w:val="2"/>
          <w:sz w:val="22"/>
          <w:szCs w:val="22"/>
          <w14:ligatures w14:val="standardContextual"/>
        </w:rPr>
        <w:t xml:space="preserve"> – J</w:t>
      </w:r>
      <w:r w:rsidRPr="00627F12">
        <w:rPr>
          <w:rFonts w:eastAsia="Aptos" w:cs="Times New Roman"/>
          <w:kern w:val="2"/>
          <w:sz w:val="22"/>
          <w:szCs w:val="22"/>
          <w14:ligatures w14:val="standardContextual"/>
        </w:rPr>
        <w:t>.</w:t>
      </w:r>
      <w:r>
        <w:rPr>
          <w:rFonts w:eastAsia="Aptos" w:cs="Times New Roman"/>
          <w:kern w:val="2"/>
          <w:sz w:val="22"/>
          <w:szCs w:val="22"/>
          <w14:ligatures w14:val="standardContextual"/>
        </w:rPr>
        <w:t xml:space="preserve"> …</w:t>
      </w:r>
    </w:p>
    <w:p w14:paraId="482353E3" w14:textId="5D346A0E" w:rsidR="00632275" w:rsidRPr="00632275" w:rsidRDefault="00632275" w:rsidP="00632275">
      <w:pPr>
        <w:spacing w:after="0" w:line="240" w:lineRule="auto"/>
        <w:ind w:left="720"/>
        <w:jc w:val="both"/>
        <w:rPr>
          <w:rFonts w:eastAsia="Aptos" w:cs="Times New Roman"/>
          <w:kern w:val="2"/>
          <w:sz w:val="20"/>
          <w:szCs w:val="20"/>
          <w14:ligatures w14:val="standardContextual"/>
        </w:rPr>
      </w:pPr>
      <w:r w:rsidRPr="00632275">
        <w:rPr>
          <w:rFonts w:eastAsia="Aptos" w:cs="Times New Roman"/>
          <w:kern w:val="2"/>
          <w:sz w:val="20"/>
          <w:szCs w:val="20"/>
          <w14:ligatures w14:val="standardContextual"/>
        </w:rPr>
        <w:t>AUTHORITY NOTE:</w:t>
      </w:r>
      <w:r w:rsidR="00BA3B6A">
        <w:rPr>
          <w:rFonts w:eastAsia="Aptos" w:cs="Times New Roman"/>
          <w:kern w:val="2"/>
          <w:sz w:val="20"/>
          <w:szCs w:val="20"/>
          <w14:ligatures w14:val="standardContextual"/>
        </w:rPr>
        <w:tab/>
      </w:r>
      <w:r w:rsidRPr="00632275">
        <w:rPr>
          <w:rFonts w:eastAsia="Aptos" w:cs="Times New Roman"/>
          <w:kern w:val="2"/>
          <w:sz w:val="20"/>
          <w:szCs w:val="20"/>
          <w14:ligatures w14:val="standardContextual"/>
        </w:rPr>
        <w:t>Promulgated in accordance with R.S. 37:760(8) and (13).</w:t>
      </w:r>
    </w:p>
    <w:p w14:paraId="0E55FB31" w14:textId="1531ADC6" w:rsidR="00632275" w:rsidRPr="00632275" w:rsidRDefault="00632275" w:rsidP="00632275">
      <w:pPr>
        <w:spacing w:after="0" w:line="240" w:lineRule="auto"/>
        <w:ind w:left="720"/>
        <w:jc w:val="both"/>
        <w:rPr>
          <w:rFonts w:eastAsia="Aptos" w:cs="Times New Roman"/>
          <w:kern w:val="2"/>
          <w:sz w:val="20"/>
          <w:szCs w:val="20"/>
          <w14:ligatures w14:val="standardContextual"/>
        </w:rPr>
      </w:pPr>
      <w:r w:rsidRPr="00632275">
        <w:rPr>
          <w:rFonts w:eastAsia="Aptos" w:cs="Times New Roman"/>
          <w:kern w:val="2"/>
          <w:sz w:val="20"/>
          <w:szCs w:val="20"/>
          <w14:ligatures w14:val="standardContextual"/>
        </w:rPr>
        <w:t>HISTORICAL NOTE:</w:t>
      </w:r>
      <w:r w:rsidR="00BA3B6A">
        <w:rPr>
          <w:rFonts w:eastAsia="Aptos" w:cs="Times New Roman"/>
          <w:kern w:val="2"/>
          <w:sz w:val="20"/>
          <w:szCs w:val="20"/>
          <w14:ligatures w14:val="standardContextual"/>
        </w:rPr>
        <w:tab/>
      </w:r>
      <w:r w:rsidRPr="00632275">
        <w:rPr>
          <w:rFonts w:eastAsia="Aptos" w:cs="Times New Roman"/>
          <w:kern w:val="2"/>
          <w:sz w:val="20"/>
          <w:szCs w:val="20"/>
          <w14:ligatures w14:val="standardContextual"/>
        </w:rPr>
        <w:t>Promulgated by the Department of Health and Hospitals, Board of Dentistry, LR 20:661 (June 1994), amended LR 21:570 (June 1995), LR 22:24 (January 1996), LR 22:1217 (December 1996), LR 23:1526 (November 1997), LR 24:1118 (June 1998), LR 25:510 (March 1999), LR 26:489 (March 2000), LR 30:2307 (October 2004), LR 32:245 (February 2006), LR 35:1237 (July 2009), LR 36:2039 (September 2010), LR 39:86 (January 2013), amended by the Department of Health, Board of Dentistry, LR 44:47 (January 2018),</w:t>
      </w:r>
      <w:r w:rsidR="002678F3" w:rsidRPr="002678F3">
        <w:t xml:space="preserve"> </w:t>
      </w:r>
      <w:r w:rsidR="002678F3" w:rsidRPr="002678F3">
        <w:rPr>
          <w:rFonts w:eastAsia="Aptos" w:cs="Times New Roman"/>
          <w:kern w:val="2"/>
          <w:sz w:val="20"/>
          <w:szCs w:val="20"/>
          <w14:ligatures w14:val="standardContextual"/>
        </w:rPr>
        <w:t>LR 51:788 (June 2025</w:t>
      </w:r>
      <w:r w:rsidR="002678F3">
        <w:rPr>
          <w:rFonts w:eastAsia="Aptos" w:cs="Times New Roman"/>
          <w:kern w:val="2"/>
          <w:sz w:val="20"/>
          <w:szCs w:val="20"/>
          <w14:ligatures w14:val="standardContextual"/>
        </w:rPr>
        <w:t>), LR</w:t>
      </w:r>
    </w:p>
    <w:p w14:paraId="15722357" w14:textId="77777777" w:rsidR="002678F3" w:rsidRDefault="002678F3" w:rsidP="00824D3B">
      <w:pPr>
        <w:spacing w:after="0"/>
        <w:jc w:val="center"/>
        <w:rPr>
          <w:rFonts w:eastAsia="Calibri" w:cs="Times New Roman"/>
          <w:b/>
          <w:sz w:val="22"/>
          <w:szCs w:val="22"/>
        </w:rPr>
      </w:pPr>
    </w:p>
    <w:p w14:paraId="7BD827B6" w14:textId="77777777" w:rsidR="002678F3" w:rsidRDefault="002678F3" w:rsidP="00824D3B">
      <w:pPr>
        <w:spacing w:after="0"/>
        <w:jc w:val="center"/>
        <w:rPr>
          <w:rFonts w:eastAsia="Calibri" w:cs="Times New Roman"/>
          <w:b/>
          <w:sz w:val="22"/>
          <w:szCs w:val="22"/>
        </w:rPr>
      </w:pPr>
    </w:p>
    <w:p w14:paraId="587BD38C" w14:textId="56C26CE3" w:rsidR="00824D3B" w:rsidRPr="00C825E5" w:rsidRDefault="00824D3B" w:rsidP="00824D3B">
      <w:pPr>
        <w:spacing w:after="0"/>
        <w:jc w:val="center"/>
        <w:rPr>
          <w:rFonts w:eastAsia="Calibri" w:cs="Times New Roman"/>
          <w:b/>
          <w:sz w:val="22"/>
          <w:szCs w:val="22"/>
        </w:rPr>
      </w:pPr>
      <w:r w:rsidRPr="00C825E5">
        <w:rPr>
          <w:rFonts w:eastAsia="Calibri" w:cs="Times New Roman"/>
          <w:b/>
          <w:sz w:val="22"/>
          <w:szCs w:val="22"/>
        </w:rPr>
        <w:t>Family Impact Statement</w:t>
      </w:r>
    </w:p>
    <w:p w14:paraId="216F7B53" w14:textId="77777777" w:rsidR="00824D3B" w:rsidRPr="00C825E5" w:rsidRDefault="00824D3B" w:rsidP="00824D3B">
      <w:pPr>
        <w:spacing w:after="0" w:line="240" w:lineRule="auto"/>
        <w:ind w:firstLine="720"/>
        <w:rPr>
          <w:rFonts w:eastAsia="Calibri" w:cs="Times New Roman"/>
          <w:sz w:val="22"/>
          <w:szCs w:val="22"/>
        </w:rPr>
      </w:pPr>
      <w:r w:rsidRPr="00C825E5">
        <w:rPr>
          <w:rFonts w:eastAsia="Calibri" w:cs="Times New Roman"/>
          <w:sz w:val="22"/>
          <w:szCs w:val="22"/>
        </w:rPr>
        <w:t xml:space="preserve">There will be no family impact </w:t>
      </w:r>
      <w:proofErr w:type="gramStart"/>
      <w:r w:rsidRPr="00C825E5">
        <w:rPr>
          <w:rFonts w:eastAsia="Calibri" w:cs="Times New Roman"/>
          <w:sz w:val="22"/>
          <w:szCs w:val="22"/>
        </w:rPr>
        <w:t>in regard to</w:t>
      </w:r>
      <w:proofErr w:type="gramEnd"/>
      <w:r w:rsidRPr="00C825E5">
        <w:rPr>
          <w:rFonts w:eastAsia="Calibri" w:cs="Times New Roman"/>
          <w:sz w:val="22"/>
          <w:szCs w:val="22"/>
        </w:rPr>
        <w:t xml:space="preserve"> issues set forth in R.S. 49:972.</w:t>
      </w:r>
    </w:p>
    <w:p w14:paraId="4CDAF458" w14:textId="77777777" w:rsidR="00824D3B" w:rsidRPr="00C825E5" w:rsidRDefault="00824D3B" w:rsidP="00824D3B">
      <w:pPr>
        <w:spacing w:after="0" w:line="240" w:lineRule="auto"/>
        <w:jc w:val="center"/>
        <w:rPr>
          <w:rFonts w:eastAsia="Calibri" w:cs="Times New Roman"/>
          <w:sz w:val="22"/>
          <w:szCs w:val="22"/>
        </w:rPr>
      </w:pPr>
    </w:p>
    <w:p w14:paraId="06DCC1F8" w14:textId="77777777" w:rsidR="00824D3B" w:rsidRPr="00C825E5" w:rsidRDefault="00824D3B" w:rsidP="00824D3B">
      <w:pPr>
        <w:keepNext/>
        <w:shd w:val="clear" w:color="auto" w:fill="FFFFFF"/>
        <w:spacing w:after="0" w:line="240" w:lineRule="auto"/>
        <w:jc w:val="center"/>
        <w:rPr>
          <w:rFonts w:eastAsia="Times New Roman" w:cs="Times New Roman"/>
          <w:b/>
          <w:bCs/>
          <w:color w:val="000000"/>
          <w:sz w:val="22"/>
          <w:szCs w:val="22"/>
        </w:rPr>
      </w:pPr>
      <w:r w:rsidRPr="00C825E5">
        <w:rPr>
          <w:rFonts w:eastAsia="Times New Roman" w:cs="Times New Roman"/>
          <w:b/>
          <w:bCs/>
          <w:color w:val="000000"/>
          <w:sz w:val="22"/>
          <w:szCs w:val="22"/>
          <w:lang w:val="x-none"/>
        </w:rPr>
        <w:t>Poverty Statement</w:t>
      </w:r>
    </w:p>
    <w:p w14:paraId="5E09ED15" w14:textId="77777777" w:rsidR="00824D3B" w:rsidRPr="00C825E5" w:rsidRDefault="00824D3B" w:rsidP="00824D3B">
      <w:pPr>
        <w:shd w:val="clear" w:color="auto" w:fill="FFFFFF"/>
        <w:spacing w:after="0" w:line="240" w:lineRule="auto"/>
        <w:ind w:firstLine="720"/>
        <w:jc w:val="both"/>
        <w:rPr>
          <w:rFonts w:eastAsia="Times New Roman" w:cs="Times New Roman"/>
          <w:color w:val="000000"/>
          <w:sz w:val="22"/>
          <w:szCs w:val="22"/>
        </w:rPr>
      </w:pPr>
      <w:r w:rsidRPr="00C825E5">
        <w:rPr>
          <w:rFonts w:eastAsia="Times New Roman" w:cs="Times New Roman"/>
          <w:color w:val="000000"/>
          <w:sz w:val="22"/>
          <w:szCs w:val="22"/>
        </w:rPr>
        <w:t xml:space="preserve">The proposed rulemaking will have no impact on poverty as described in R.S. 49:973.  </w:t>
      </w:r>
      <w:proofErr w:type="gramStart"/>
      <w:r w:rsidRPr="00C825E5">
        <w:rPr>
          <w:rFonts w:eastAsia="Times New Roman" w:cs="Times New Roman"/>
          <w:color w:val="000000"/>
          <w:sz w:val="22"/>
          <w:szCs w:val="22"/>
        </w:rPr>
        <w:t>In particular, there</w:t>
      </w:r>
      <w:proofErr w:type="gramEnd"/>
      <w:r w:rsidRPr="00C825E5">
        <w:rPr>
          <w:rFonts w:eastAsia="Times New Roman" w:cs="Times New Roman"/>
          <w:color w:val="000000"/>
          <w:sz w:val="22"/>
          <w:szCs w:val="22"/>
        </w:rPr>
        <w:t xml:space="preserve"> should be no known or foreseeable effect on:</w:t>
      </w:r>
    </w:p>
    <w:p w14:paraId="3DD91BFD" w14:textId="5AEE3110" w:rsidR="00824D3B" w:rsidRPr="00BA3B6A" w:rsidRDefault="00824D3B" w:rsidP="00BA3B6A">
      <w:pPr>
        <w:pStyle w:val="ListParagraph"/>
        <w:numPr>
          <w:ilvl w:val="0"/>
          <w:numId w:val="4"/>
        </w:numPr>
        <w:shd w:val="clear" w:color="auto" w:fill="FFFFFF"/>
        <w:spacing w:after="0" w:line="240" w:lineRule="auto"/>
        <w:jc w:val="both"/>
        <w:rPr>
          <w:rFonts w:eastAsia="Times New Roman" w:cs="Times New Roman"/>
          <w:color w:val="000000"/>
          <w:sz w:val="22"/>
          <w:szCs w:val="22"/>
        </w:rPr>
      </w:pPr>
      <w:r w:rsidRPr="00BA3B6A">
        <w:rPr>
          <w:rFonts w:eastAsia="Times New Roman" w:cs="Times New Roman"/>
          <w:color w:val="000000"/>
          <w:sz w:val="22"/>
          <w:szCs w:val="22"/>
        </w:rPr>
        <w:t xml:space="preserve">the effect on household income, assets, and financial </w:t>
      </w:r>
      <w:proofErr w:type="gramStart"/>
      <w:r w:rsidRPr="00BA3B6A">
        <w:rPr>
          <w:rFonts w:eastAsia="Times New Roman" w:cs="Times New Roman"/>
          <w:color w:val="000000"/>
          <w:sz w:val="22"/>
          <w:szCs w:val="22"/>
        </w:rPr>
        <w:t>security;</w:t>
      </w:r>
      <w:proofErr w:type="gramEnd"/>
    </w:p>
    <w:p w14:paraId="4D139F30" w14:textId="77777777" w:rsidR="00824D3B" w:rsidRPr="00C825E5" w:rsidRDefault="00824D3B" w:rsidP="00824D3B">
      <w:pPr>
        <w:numPr>
          <w:ilvl w:val="0"/>
          <w:numId w:val="4"/>
        </w:numPr>
        <w:shd w:val="clear" w:color="auto" w:fill="FFFFFF"/>
        <w:spacing w:after="0" w:line="240" w:lineRule="auto"/>
        <w:contextualSpacing/>
        <w:jc w:val="both"/>
        <w:rPr>
          <w:rFonts w:eastAsia="Times New Roman" w:cs="Times New Roman"/>
          <w:color w:val="000000"/>
          <w:sz w:val="22"/>
          <w:szCs w:val="22"/>
        </w:rPr>
      </w:pPr>
      <w:r w:rsidRPr="00C825E5">
        <w:rPr>
          <w:rFonts w:eastAsia="Times New Roman" w:cs="Times New Roman"/>
          <w:color w:val="000000"/>
          <w:sz w:val="22"/>
          <w:szCs w:val="22"/>
        </w:rPr>
        <w:t xml:space="preserve">the effect on early childhood development and preschool through postsecondary education </w:t>
      </w:r>
      <w:proofErr w:type="gramStart"/>
      <w:r w:rsidRPr="00C825E5">
        <w:rPr>
          <w:rFonts w:eastAsia="Times New Roman" w:cs="Times New Roman"/>
          <w:color w:val="000000"/>
          <w:sz w:val="22"/>
          <w:szCs w:val="22"/>
        </w:rPr>
        <w:t>development;</w:t>
      </w:r>
      <w:proofErr w:type="gramEnd"/>
    </w:p>
    <w:p w14:paraId="04CECBF5" w14:textId="77777777" w:rsidR="00824D3B" w:rsidRPr="00C825E5" w:rsidRDefault="00824D3B" w:rsidP="00824D3B">
      <w:pPr>
        <w:numPr>
          <w:ilvl w:val="0"/>
          <w:numId w:val="4"/>
        </w:numPr>
        <w:shd w:val="clear" w:color="auto" w:fill="FFFFFF"/>
        <w:spacing w:after="0" w:line="240" w:lineRule="auto"/>
        <w:contextualSpacing/>
        <w:jc w:val="both"/>
        <w:rPr>
          <w:rFonts w:eastAsia="Times New Roman" w:cs="Times New Roman"/>
          <w:color w:val="000000"/>
          <w:sz w:val="22"/>
          <w:szCs w:val="22"/>
        </w:rPr>
      </w:pPr>
      <w:r w:rsidRPr="00C825E5">
        <w:rPr>
          <w:rFonts w:eastAsia="Times New Roman" w:cs="Times New Roman"/>
          <w:color w:val="000000"/>
          <w:sz w:val="22"/>
          <w:szCs w:val="22"/>
        </w:rPr>
        <w:t xml:space="preserve">the effect on employment and workforce </w:t>
      </w:r>
      <w:proofErr w:type="gramStart"/>
      <w:r w:rsidRPr="00C825E5">
        <w:rPr>
          <w:rFonts w:eastAsia="Times New Roman" w:cs="Times New Roman"/>
          <w:color w:val="000000"/>
          <w:sz w:val="22"/>
          <w:szCs w:val="22"/>
        </w:rPr>
        <w:t>development;</w:t>
      </w:r>
      <w:proofErr w:type="gramEnd"/>
    </w:p>
    <w:p w14:paraId="0C732F7A" w14:textId="77777777" w:rsidR="00824D3B" w:rsidRPr="00C825E5" w:rsidRDefault="00824D3B" w:rsidP="00824D3B">
      <w:pPr>
        <w:numPr>
          <w:ilvl w:val="0"/>
          <w:numId w:val="4"/>
        </w:numPr>
        <w:shd w:val="clear" w:color="auto" w:fill="FFFFFF"/>
        <w:spacing w:after="0" w:line="240" w:lineRule="auto"/>
        <w:contextualSpacing/>
        <w:jc w:val="both"/>
        <w:rPr>
          <w:rFonts w:eastAsia="Times New Roman" w:cs="Times New Roman"/>
          <w:color w:val="000000"/>
          <w:sz w:val="22"/>
          <w:szCs w:val="22"/>
        </w:rPr>
      </w:pPr>
      <w:r w:rsidRPr="00C825E5">
        <w:rPr>
          <w:rFonts w:eastAsia="Times New Roman" w:cs="Times New Roman"/>
          <w:color w:val="000000"/>
          <w:sz w:val="22"/>
          <w:szCs w:val="22"/>
        </w:rPr>
        <w:t xml:space="preserve">the effect on taxes and tax </w:t>
      </w:r>
      <w:proofErr w:type="gramStart"/>
      <w:r w:rsidRPr="00C825E5">
        <w:rPr>
          <w:rFonts w:eastAsia="Times New Roman" w:cs="Times New Roman"/>
          <w:color w:val="000000"/>
          <w:sz w:val="22"/>
          <w:szCs w:val="22"/>
        </w:rPr>
        <w:t>credits;</w:t>
      </w:r>
      <w:proofErr w:type="gramEnd"/>
      <w:r w:rsidRPr="00C825E5">
        <w:rPr>
          <w:rFonts w:eastAsia="Times New Roman" w:cs="Times New Roman"/>
          <w:color w:val="000000"/>
          <w:sz w:val="22"/>
          <w:szCs w:val="22"/>
        </w:rPr>
        <w:t xml:space="preserve"> </w:t>
      </w:r>
    </w:p>
    <w:p w14:paraId="39F11B03" w14:textId="77777777" w:rsidR="00824D3B" w:rsidRDefault="00824D3B" w:rsidP="00824D3B">
      <w:pPr>
        <w:numPr>
          <w:ilvl w:val="0"/>
          <w:numId w:val="4"/>
        </w:numPr>
        <w:shd w:val="clear" w:color="auto" w:fill="FFFFFF"/>
        <w:spacing w:after="0" w:line="240" w:lineRule="auto"/>
        <w:contextualSpacing/>
        <w:jc w:val="both"/>
        <w:rPr>
          <w:rFonts w:eastAsia="Times New Roman" w:cs="Times New Roman"/>
          <w:color w:val="000000"/>
          <w:sz w:val="22"/>
          <w:szCs w:val="22"/>
        </w:rPr>
      </w:pPr>
      <w:proofErr w:type="gramStart"/>
      <w:r w:rsidRPr="00C825E5">
        <w:rPr>
          <w:rFonts w:eastAsia="Times New Roman" w:cs="Times New Roman"/>
          <w:color w:val="000000"/>
          <w:sz w:val="22"/>
          <w:szCs w:val="22"/>
        </w:rPr>
        <w:t>the</w:t>
      </w:r>
      <w:proofErr w:type="gramEnd"/>
      <w:r w:rsidRPr="00C825E5">
        <w:rPr>
          <w:rFonts w:eastAsia="Times New Roman" w:cs="Times New Roman"/>
          <w:color w:val="000000"/>
          <w:sz w:val="22"/>
          <w:szCs w:val="22"/>
        </w:rPr>
        <w:t xml:space="preserve"> effect on child and dependent care, housing, health care, nutrition, transportation, and utilities assistance.</w:t>
      </w:r>
    </w:p>
    <w:p w14:paraId="71A604B3" w14:textId="77777777" w:rsidR="00824D3B" w:rsidRDefault="00824D3B" w:rsidP="00824D3B">
      <w:pPr>
        <w:shd w:val="clear" w:color="auto" w:fill="FFFFFF"/>
        <w:spacing w:after="0" w:line="240" w:lineRule="auto"/>
        <w:ind w:left="1080"/>
        <w:contextualSpacing/>
        <w:jc w:val="both"/>
        <w:rPr>
          <w:rFonts w:eastAsia="Times New Roman" w:cs="Times New Roman"/>
          <w:color w:val="000000"/>
          <w:sz w:val="22"/>
          <w:szCs w:val="22"/>
        </w:rPr>
      </w:pPr>
    </w:p>
    <w:p w14:paraId="0C9E3817" w14:textId="5150AFF3" w:rsidR="00FF7745" w:rsidRDefault="000730D0" w:rsidP="00FF7745">
      <w:pPr>
        <w:keepNext/>
        <w:spacing w:after="0" w:line="240" w:lineRule="auto"/>
        <w:jc w:val="center"/>
        <w:rPr>
          <w:rFonts w:asciiTheme="minorHAnsi" w:eastAsia="Calibri" w:hAnsiTheme="minorHAnsi" w:cstheme="minorHAnsi"/>
          <w:sz w:val="22"/>
          <w:szCs w:val="22"/>
        </w:rPr>
      </w:pPr>
      <w:r w:rsidRPr="000730D0">
        <w:rPr>
          <w:rFonts w:asciiTheme="minorHAnsi" w:eastAsia="Calibri" w:hAnsiTheme="minorHAnsi" w:cstheme="minorHAnsi"/>
          <w:b/>
          <w:bCs/>
          <w:sz w:val="22"/>
          <w:szCs w:val="22"/>
        </w:rPr>
        <w:t>Small Business Analysis</w:t>
      </w:r>
    </w:p>
    <w:p w14:paraId="07A4E120" w14:textId="65342F89" w:rsidR="000730D0" w:rsidRDefault="00FF7745" w:rsidP="00FF7745">
      <w:pPr>
        <w:shd w:val="clear" w:color="auto" w:fill="FFFFFF"/>
        <w:spacing w:after="0" w:line="240" w:lineRule="auto"/>
        <w:ind w:firstLine="720"/>
        <w:contextualSpacing/>
        <w:jc w:val="both"/>
        <w:rPr>
          <w:rFonts w:asciiTheme="minorHAnsi" w:eastAsia="Calibri" w:hAnsiTheme="minorHAnsi" w:cstheme="minorHAnsi"/>
          <w:sz w:val="22"/>
          <w:szCs w:val="22"/>
        </w:rPr>
      </w:pPr>
      <w:r w:rsidRPr="00FF7745">
        <w:rPr>
          <w:rFonts w:asciiTheme="minorHAnsi" w:eastAsia="Calibri" w:hAnsiTheme="minorHAnsi" w:cstheme="minorHAnsi"/>
          <w:sz w:val="22"/>
          <w:szCs w:val="22"/>
        </w:rPr>
        <w:t xml:space="preserve">In compliance with Act 820 of the 2008 Regular Session of the Louisiana Legislature, the economic impact of this proposed Rule on small businesses has been considered. </w:t>
      </w:r>
      <w:r>
        <w:rPr>
          <w:rFonts w:asciiTheme="minorHAnsi" w:eastAsia="Calibri" w:hAnsiTheme="minorHAnsi" w:cstheme="minorHAnsi"/>
          <w:sz w:val="22"/>
          <w:szCs w:val="22"/>
        </w:rPr>
        <w:t xml:space="preserve"> </w:t>
      </w:r>
      <w:r w:rsidRPr="00FF7745">
        <w:rPr>
          <w:rFonts w:asciiTheme="minorHAnsi" w:eastAsia="Calibri" w:hAnsiTheme="minorHAnsi" w:cstheme="minorHAnsi"/>
          <w:sz w:val="22"/>
          <w:szCs w:val="22"/>
        </w:rPr>
        <w:t>It is anticipated that this proposed Rule will have no impact on small businesses, as described in R.S. 49:965.2 et seq.</w:t>
      </w:r>
    </w:p>
    <w:p w14:paraId="46988BB3" w14:textId="77777777" w:rsidR="00FF7745" w:rsidRPr="00D62D29" w:rsidRDefault="00FF7745" w:rsidP="00FF7745">
      <w:pPr>
        <w:shd w:val="clear" w:color="auto" w:fill="FFFFFF"/>
        <w:spacing w:after="0" w:line="240" w:lineRule="auto"/>
        <w:ind w:firstLine="720"/>
        <w:contextualSpacing/>
        <w:jc w:val="both"/>
        <w:rPr>
          <w:rFonts w:asciiTheme="minorHAnsi" w:eastAsia="Times New Roman" w:hAnsiTheme="minorHAnsi" w:cstheme="minorHAnsi"/>
          <w:color w:val="000000"/>
          <w:sz w:val="22"/>
          <w:szCs w:val="22"/>
        </w:rPr>
      </w:pPr>
    </w:p>
    <w:p w14:paraId="090F333A" w14:textId="77777777" w:rsidR="00824D3B" w:rsidRPr="00C825E5" w:rsidRDefault="00824D3B" w:rsidP="00824D3B">
      <w:pPr>
        <w:spacing w:before="100" w:beforeAutospacing="1" w:after="100" w:afterAutospacing="1" w:line="240" w:lineRule="auto"/>
        <w:contextualSpacing/>
        <w:jc w:val="center"/>
        <w:rPr>
          <w:rFonts w:eastAsia="Times New Roman" w:cs="Times New Roman"/>
          <w:b/>
          <w:sz w:val="22"/>
          <w:szCs w:val="22"/>
        </w:rPr>
      </w:pPr>
      <w:r w:rsidRPr="00C825E5">
        <w:rPr>
          <w:rFonts w:eastAsia="Times New Roman" w:cs="Times New Roman"/>
          <w:b/>
          <w:sz w:val="22"/>
          <w:szCs w:val="22"/>
        </w:rPr>
        <w:t>Provider Impact Statement</w:t>
      </w:r>
    </w:p>
    <w:p w14:paraId="272CF6A3" w14:textId="77777777" w:rsidR="00824D3B" w:rsidRPr="00C825E5" w:rsidRDefault="00824D3B" w:rsidP="00824D3B">
      <w:pPr>
        <w:spacing w:after="0" w:line="240" w:lineRule="auto"/>
        <w:ind w:firstLine="720"/>
        <w:contextualSpacing/>
        <w:jc w:val="both"/>
        <w:rPr>
          <w:rFonts w:eastAsia="Times New Roman" w:cs="Times New Roman"/>
          <w:sz w:val="22"/>
          <w:szCs w:val="22"/>
        </w:rPr>
      </w:pPr>
      <w:r w:rsidRPr="00C825E5">
        <w:rPr>
          <w:rFonts w:eastAsia="Times New Roman" w:cs="Times New Roman"/>
          <w:sz w:val="22"/>
          <w:szCs w:val="22"/>
        </w:rPr>
        <w:t xml:space="preserve">The proposed rulemaking should not have any </w:t>
      </w:r>
      <w:proofErr w:type="gramStart"/>
      <w:r w:rsidRPr="00C825E5">
        <w:rPr>
          <w:rFonts w:eastAsia="Times New Roman" w:cs="Times New Roman"/>
          <w:sz w:val="22"/>
          <w:szCs w:val="22"/>
        </w:rPr>
        <w:t>know</w:t>
      </w:r>
      <w:proofErr w:type="gramEnd"/>
      <w:r w:rsidRPr="00C825E5">
        <w:rPr>
          <w:rFonts w:eastAsia="Times New Roman" w:cs="Times New Roman"/>
          <w:sz w:val="22"/>
          <w:szCs w:val="22"/>
        </w:rPr>
        <w:t xml:space="preserve"> or foreseeable impact on providers as defined by HCR 170 of 2014 Regular Legislative Session.  </w:t>
      </w:r>
      <w:proofErr w:type="gramStart"/>
      <w:r w:rsidRPr="00C825E5">
        <w:rPr>
          <w:rFonts w:eastAsia="Times New Roman" w:cs="Times New Roman"/>
          <w:sz w:val="22"/>
          <w:szCs w:val="22"/>
        </w:rPr>
        <w:t>In particular, there</w:t>
      </w:r>
      <w:proofErr w:type="gramEnd"/>
      <w:r w:rsidRPr="00C825E5">
        <w:rPr>
          <w:rFonts w:eastAsia="Times New Roman" w:cs="Times New Roman"/>
          <w:sz w:val="22"/>
          <w:szCs w:val="22"/>
        </w:rPr>
        <w:t xml:space="preserve"> should be no known or foreseeable effect on:</w:t>
      </w:r>
    </w:p>
    <w:p w14:paraId="02FE9865" w14:textId="612CC39C" w:rsidR="00824D3B" w:rsidRPr="00BA3B6A" w:rsidRDefault="00824D3B" w:rsidP="00BA3B6A">
      <w:pPr>
        <w:pStyle w:val="ListParagraph"/>
        <w:numPr>
          <w:ilvl w:val="0"/>
          <w:numId w:val="3"/>
        </w:numPr>
        <w:spacing w:after="0" w:line="240" w:lineRule="auto"/>
        <w:jc w:val="both"/>
        <w:rPr>
          <w:rFonts w:eastAsia="Times New Roman" w:cs="Times New Roman"/>
          <w:sz w:val="22"/>
          <w:szCs w:val="22"/>
        </w:rPr>
      </w:pPr>
      <w:r w:rsidRPr="00BA3B6A">
        <w:rPr>
          <w:rFonts w:eastAsia="Times New Roman" w:cs="Times New Roman"/>
          <w:sz w:val="22"/>
          <w:szCs w:val="22"/>
        </w:rPr>
        <w:t xml:space="preserve"> the effect on the </w:t>
      </w:r>
      <w:proofErr w:type="gramStart"/>
      <w:r w:rsidRPr="00BA3B6A">
        <w:rPr>
          <w:rFonts w:eastAsia="Times New Roman" w:cs="Times New Roman"/>
          <w:sz w:val="22"/>
          <w:szCs w:val="22"/>
        </w:rPr>
        <w:t>staffing level</w:t>
      </w:r>
      <w:proofErr w:type="gramEnd"/>
      <w:r w:rsidRPr="00BA3B6A">
        <w:rPr>
          <w:rFonts w:eastAsia="Times New Roman" w:cs="Times New Roman"/>
          <w:sz w:val="22"/>
          <w:szCs w:val="22"/>
        </w:rPr>
        <w:t xml:space="preserve"> requirements or qualifications required to provide the same level of </w:t>
      </w:r>
      <w:proofErr w:type="gramStart"/>
      <w:r w:rsidRPr="00BA3B6A">
        <w:rPr>
          <w:rFonts w:eastAsia="Times New Roman" w:cs="Times New Roman"/>
          <w:sz w:val="22"/>
          <w:szCs w:val="22"/>
        </w:rPr>
        <w:t>service;</w:t>
      </w:r>
      <w:proofErr w:type="gramEnd"/>
    </w:p>
    <w:p w14:paraId="7C29119C" w14:textId="77777777" w:rsidR="00824D3B" w:rsidRPr="00C825E5" w:rsidRDefault="00824D3B" w:rsidP="00824D3B">
      <w:pPr>
        <w:numPr>
          <w:ilvl w:val="0"/>
          <w:numId w:val="3"/>
        </w:numPr>
        <w:spacing w:before="100" w:beforeAutospacing="1" w:after="100" w:afterAutospacing="1" w:line="240" w:lineRule="auto"/>
        <w:contextualSpacing/>
        <w:jc w:val="both"/>
        <w:rPr>
          <w:rFonts w:eastAsia="Times New Roman" w:cs="Times New Roman"/>
          <w:sz w:val="22"/>
          <w:szCs w:val="22"/>
        </w:rPr>
      </w:pPr>
      <w:r w:rsidRPr="00C825E5">
        <w:rPr>
          <w:rFonts w:eastAsia="Times New Roman" w:cs="Times New Roman"/>
          <w:sz w:val="22"/>
          <w:szCs w:val="22"/>
        </w:rPr>
        <w:t>the total direct and indirect effect of the cost to the providers to provide the same level of service; or</w:t>
      </w:r>
    </w:p>
    <w:p w14:paraId="4E959359" w14:textId="77777777" w:rsidR="00824D3B" w:rsidRPr="00C825E5" w:rsidRDefault="00824D3B" w:rsidP="00824D3B">
      <w:pPr>
        <w:numPr>
          <w:ilvl w:val="0"/>
          <w:numId w:val="3"/>
        </w:numPr>
        <w:spacing w:before="100" w:beforeAutospacing="1" w:after="100" w:afterAutospacing="1" w:line="240" w:lineRule="auto"/>
        <w:contextualSpacing/>
        <w:jc w:val="both"/>
        <w:rPr>
          <w:rFonts w:eastAsia="Times New Roman" w:cs="Times New Roman"/>
          <w:sz w:val="22"/>
          <w:szCs w:val="22"/>
        </w:rPr>
      </w:pPr>
      <w:r w:rsidRPr="00C825E5">
        <w:rPr>
          <w:rFonts w:eastAsia="Times New Roman" w:cs="Times New Roman"/>
          <w:sz w:val="22"/>
          <w:szCs w:val="22"/>
        </w:rPr>
        <w:t>the overall effect on the ability of the provider to provide the same level of service.</w:t>
      </w:r>
    </w:p>
    <w:p w14:paraId="5B4289AF" w14:textId="77777777" w:rsidR="00824D3B" w:rsidRPr="00C825E5" w:rsidRDefault="00824D3B" w:rsidP="00824D3B">
      <w:pPr>
        <w:spacing w:before="100" w:beforeAutospacing="1" w:after="100" w:afterAutospacing="1" w:line="240" w:lineRule="auto"/>
        <w:ind w:left="1080"/>
        <w:contextualSpacing/>
        <w:jc w:val="both"/>
        <w:rPr>
          <w:rFonts w:eastAsia="Times New Roman" w:cs="Times New Roman"/>
          <w:sz w:val="22"/>
          <w:szCs w:val="22"/>
        </w:rPr>
      </w:pPr>
    </w:p>
    <w:p w14:paraId="22A8DBF0" w14:textId="77777777" w:rsidR="00824D3B" w:rsidRPr="00C825E5" w:rsidRDefault="00824D3B" w:rsidP="00824D3B">
      <w:pPr>
        <w:spacing w:after="0" w:line="240" w:lineRule="auto"/>
        <w:jc w:val="center"/>
        <w:rPr>
          <w:rFonts w:eastAsia="Times New Roman" w:cs="Times New Roman"/>
          <w:sz w:val="22"/>
          <w:szCs w:val="22"/>
        </w:rPr>
      </w:pPr>
      <w:r w:rsidRPr="00C825E5">
        <w:rPr>
          <w:rFonts w:eastAsia="Times New Roman" w:cs="Times New Roman"/>
          <w:b/>
          <w:sz w:val="22"/>
          <w:szCs w:val="22"/>
        </w:rPr>
        <w:lastRenderedPageBreak/>
        <w:t>Public Comment</w:t>
      </w:r>
    </w:p>
    <w:p w14:paraId="430A461A" w14:textId="75B4F0BF" w:rsidR="00824D3B" w:rsidRDefault="00824D3B" w:rsidP="00824D3B">
      <w:pPr>
        <w:spacing w:after="0" w:line="240" w:lineRule="auto"/>
        <w:ind w:firstLine="720"/>
        <w:contextualSpacing/>
        <w:jc w:val="both"/>
        <w:rPr>
          <w:rFonts w:eastAsia="Times New Roman" w:cs="Times New Roman"/>
          <w:sz w:val="22"/>
          <w:szCs w:val="22"/>
        </w:rPr>
      </w:pPr>
      <w:r w:rsidRPr="00C825E5">
        <w:rPr>
          <w:rFonts w:eastAsia="Times New Roman" w:cs="Times New Roman"/>
          <w:sz w:val="22"/>
          <w:szCs w:val="22"/>
        </w:rPr>
        <w:t xml:space="preserve">Interested persons may submit written comments on these proposed rule changes to Arthur Hickham, Jr., Executive Director, Louisiana State Board of Dentistry, P.O. Box 5256, Baton Rouge, Louisiana, 70821.  Written comments must be submitted to and received by the Board </w:t>
      </w:r>
      <w:r w:rsidR="000730D0">
        <w:rPr>
          <w:rFonts w:eastAsia="Times New Roman" w:cs="Times New Roman"/>
          <w:sz w:val="22"/>
          <w:szCs w:val="22"/>
        </w:rPr>
        <w:t xml:space="preserve">by 4:30 p.m. on </w:t>
      </w:r>
      <w:r w:rsidR="0095076B">
        <w:rPr>
          <w:rFonts w:eastAsia="Times New Roman" w:cs="Times New Roman"/>
          <w:sz w:val="22"/>
          <w:szCs w:val="22"/>
        </w:rPr>
        <w:t>March</w:t>
      </w:r>
      <w:r w:rsidR="000730D0">
        <w:rPr>
          <w:rFonts w:eastAsia="Times New Roman" w:cs="Times New Roman"/>
          <w:sz w:val="22"/>
          <w:szCs w:val="22"/>
        </w:rPr>
        <w:t xml:space="preserve"> 10, 202</w:t>
      </w:r>
      <w:r w:rsidR="0095076B">
        <w:rPr>
          <w:rFonts w:eastAsia="Times New Roman" w:cs="Times New Roman"/>
          <w:sz w:val="22"/>
          <w:szCs w:val="22"/>
        </w:rPr>
        <w:t>6</w:t>
      </w:r>
      <w:r w:rsidR="000730D0">
        <w:rPr>
          <w:rFonts w:eastAsia="Times New Roman" w:cs="Times New Roman"/>
          <w:sz w:val="22"/>
          <w:szCs w:val="22"/>
        </w:rPr>
        <w:t>.</w:t>
      </w:r>
      <w:r w:rsidRPr="00C825E5">
        <w:rPr>
          <w:rFonts w:eastAsia="Times New Roman" w:cs="Times New Roman"/>
          <w:sz w:val="22"/>
          <w:szCs w:val="22"/>
        </w:rPr>
        <w:t xml:space="preserve">  A request pursuant to R.S. 49:953 (A)(2) for oral presentation, argument, or public hearing must be made in writing and received by the Board </w:t>
      </w:r>
      <w:r w:rsidR="000730D0">
        <w:rPr>
          <w:rFonts w:eastAsia="Times New Roman" w:cs="Times New Roman"/>
          <w:sz w:val="22"/>
          <w:szCs w:val="22"/>
        </w:rPr>
        <w:t xml:space="preserve">by 4:30 p.m. on </w:t>
      </w:r>
      <w:r w:rsidR="0095076B">
        <w:rPr>
          <w:rFonts w:eastAsia="Times New Roman" w:cs="Times New Roman"/>
          <w:sz w:val="22"/>
          <w:szCs w:val="22"/>
        </w:rPr>
        <w:t xml:space="preserve">March </w:t>
      </w:r>
      <w:r w:rsidR="000730D0">
        <w:rPr>
          <w:rFonts w:eastAsia="Times New Roman" w:cs="Times New Roman"/>
          <w:sz w:val="22"/>
          <w:szCs w:val="22"/>
        </w:rPr>
        <w:t>10, 202</w:t>
      </w:r>
      <w:r w:rsidR="0095076B">
        <w:rPr>
          <w:rFonts w:eastAsia="Times New Roman" w:cs="Times New Roman"/>
          <w:sz w:val="22"/>
          <w:szCs w:val="22"/>
        </w:rPr>
        <w:t>6</w:t>
      </w:r>
      <w:r w:rsidRPr="00C825E5">
        <w:rPr>
          <w:rFonts w:eastAsia="Times New Roman" w:cs="Times New Roman"/>
          <w:sz w:val="22"/>
          <w:szCs w:val="22"/>
        </w:rPr>
        <w:t>.</w:t>
      </w:r>
    </w:p>
    <w:p w14:paraId="7C302AF5" w14:textId="77777777" w:rsidR="00824D3B" w:rsidRPr="00C825E5" w:rsidRDefault="00824D3B" w:rsidP="00824D3B">
      <w:pPr>
        <w:spacing w:after="0" w:line="240" w:lineRule="auto"/>
        <w:ind w:firstLine="720"/>
        <w:contextualSpacing/>
        <w:jc w:val="both"/>
        <w:rPr>
          <w:rFonts w:eastAsia="Times New Roman" w:cs="Times New Roman"/>
          <w:sz w:val="22"/>
          <w:szCs w:val="22"/>
        </w:rPr>
      </w:pPr>
    </w:p>
    <w:p w14:paraId="2C4DFBC0" w14:textId="77777777" w:rsidR="00824D3B" w:rsidRPr="00C825E5" w:rsidRDefault="00824D3B" w:rsidP="00824D3B">
      <w:pPr>
        <w:spacing w:before="100" w:beforeAutospacing="1" w:after="100" w:afterAutospacing="1" w:line="240" w:lineRule="auto"/>
        <w:contextualSpacing/>
        <w:jc w:val="center"/>
        <w:outlineLvl w:val="0"/>
        <w:rPr>
          <w:rFonts w:eastAsia="Times New Roman" w:cs="Times New Roman"/>
          <w:sz w:val="22"/>
          <w:szCs w:val="22"/>
        </w:rPr>
      </w:pPr>
      <w:r w:rsidRPr="00C825E5">
        <w:rPr>
          <w:rFonts w:eastAsia="Times New Roman" w:cs="Times New Roman"/>
          <w:sz w:val="22"/>
          <w:szCs w:val="22"/>
        </w:rPr>
        <w:t>Arthur Hickham, Jr.</w:t>
      </w:r>
    </w:p>
    <w:p w14:paraId="46BFB3B1" w14:textId="77777777" w:rsidR="00824D3B" w:rsidRDefault="00824D3B" w:rsidP="00824D3B">
      <w:pPr>
        <w:spacing w:before="100" w:beforeAutospacing="1" w:after="100" w:afterAutospacing="1" w:line="240" w:lineRule="auto"/>
        <w:contextualSpacing/>
        <w:jc w:val="center"/>
        <w:rPr>
          <w:rFonts w:eastAsia="Times New Roman" w:cs="Times New Roman"/>
          <w:sz w:val="22"/>
          <w:szCs w:val="22"/>
        </w:rPr>
      </w:pPr>
      <w:r w:rsidRPr="00C825E5">
        <w:rPr>
          <w:rFonts w:eastAsia="Times New Roman" w:cs="Times New Roman"/>
          <w:sz w:val="22"/>
          <w:szCs w:val="22"/>
        </w:rPr>
        <w:t>Executive Director</w:t>
      </w:r>
    </w:p>
    <w:p w14:paraId="64ADB7E0" w14:textId="77777777" w:rsidR="000730D0" w:rsidRDefault="000730D0" w:rsidP="00824D3B">
      <w:pPr>
        <w:spacing w:before="100" w:beforeAutospacing="1" w:after="100" w:afterAutospacing="1" w:line="240" w:lineRule="auto"/>
        <w:contextualSpacing/>
        <w:jc w:val="center"/>
        <w:rPr>
          <w:rFonts w:eastAsia="Times New Roman" w:cs="Times New Roman"/>
          <w:sz w:val="22"/>
          <w:szCs w:val="22"/>
        </w:rPr>
      </w:pPr>
    </w:p>
    <w:p w14:paraId="2163111E" w14:textId="77777777" w:rsidR="00CF2ED6" w:rsidRPr="00C825E5" w:rsidRDefault="00CF2ED6" w:rsidP="00161F73">
      <w:pPr>
        <w:spacing w:before="100" w:beforeAutospacing="1" w:after="100" w:afterAutospacing="1" w:line="240" w:lineRule="auto"/>
        <w:contextualSpacing/>
        <w:jc w:val="center"/>
        <w:rPr>
          <w:rFonts w:eastAsia="Times New Roman" w:cs="Times New Roman"/>
          <w:sz w:val="22"/>
          <w:szCs w:val="22"/>
        </w:rPr>
      </w:pPr>
    </w:p>
    <w:p w14:paraId="30811006" w14:textId="77777777" w:rsidR="00FD211F" w:rsidRDefault="00FD211F" w:rsidP="000F129C">
      <w:pPr>
        <w:spacing w:after="0" w:line="240" w:lineRule="auto"/>
        <w:jc w:val="center"/>
        <w:rPr>
          <w:rFonts w:eastAsia="Times New Roman" w:cs="Times New Roman"/>
          <w:b/>
          <w:sz w:val="22"/>
          <w:szCs w:val="22"/>
        </w:rPr>
      </w:pPr>
    </w:p>
    <w:p w14:paraId="7D7BAAC3" w14:textId="6451C861" w:rsidR="000F129C" w:rsidRPr="00B46FE6" w:rsidRDefault="000F129C" w:rsidP="000F129C">
      <w:pPr>
        <w:spacing w:after="0" w:line="240" w:lineRule="auto"/>
        <w:jc w:val="center"/>
        <w:rPr>
          <w:rFonts w:eastAsia="Times New Roman" w:cs="Times New Roman"/>
          <w:b/>
          <w:sz w:val="22"/>
          <w:szCs w:val="22"/>
        </w:rPr>
      </w:pPr>
      <w:r w:rsidRPr="00B46FE6">
        <w:rPr>
          <w:rFonts w:eastAsia="Times New Roman" w:cs="Times New Roman"/>
          <w:b/>
          <w:sz w:val="22"/>
          <w:szCs w:val="22"/>
        </w:rPr>
        <w:t>FISCAL AND ECONOMIC IMPACT STATEMENT</w:t>
      </w:r>
    </w:p>
    <w:p w14:paraId="0C52EE75" w14:textId="77777777" w:rsidR="000F129C" w:rsidRPr="00B46FE6" w:rsidRDefault="000F129C" w:rsidP="000F129C">
      <w:pPr>
        <w:spacing w:after="0" w:line="240" w:lineRule="auto"/>
        <w:jc w:val="center"/>
        <w:rPr>
          <w:rFonts w:eastAsia="Times New Roman" w:cs="Times New Roman"/>
          <w:b/>
          <w:sz w:val="22"/>
          <w:szCs w:val="22"/>
        </w:rPr>
      </w:pPr>
      <w:r w:rsidRPr="00B46FE6">
        <w:rPr>
          <w:rFonts w:eastAsia="Times New Roman" w:cs="Times New Roman"/>
          <w:b/>
          <w:sz w:val="22"/>
          <w:szCs w:val="22"/>
        </w:rPr>
        <w:t>FOR ADMINISTRATIVE RULES</w:t>
      </w:r>
    </w:p>
    <w:p w14:paraId="1A2F82A5" w14:textId="1789FE3D" w:rsidR="006F72BB" w:rsidRDefault="003C0522" w:rsidP="002678F3">
      <w:pPr>
        <w:spacing w:before="100" w:beforeAutospacing="1" w:after="100" w:afterAutospacing="1" w:line="240" w:lineRule="auto"/>
        <w:contextualSpacing/>
        <w:jc w:val="center"/>
        <w:rPr>
          <w:b/>
          <w:bCs/>
          <w:color w:val="000000"/>
          <w:sz w:val="22"/>
          <w:szCs w:val="22"/>
        </w:rPr>
      </w:pPr>
      <w:r w:rsidRPr="00F3279D">
        <w:rPr>
          <w:rFonts w:eastAsia="Times New Roman" w:cs="Times New Roman"/>
          <w:b/>
          <w:kern w:val="2"/>
          <w:sz w:val="22"/>
          <w:szCs w:val="22"/>
        </w:rPr>
        <w:t xml:space="preserve">RULE </w:t>
      </w:r>
      <w:r w:rsidR="000F129C" w:rsidRPr="00F3279D">
        <w:rPr>
          <w:rFonts w:eastAsia="Times New Roman" w:cs="Times New Roman"/>
          <w:b/>
          <w:kern w:val="2"/>
          <w:sz w:val="22"/>
          <w:szCs w:val="22"/>
        </w:rPr>
        <w:t>TITLE</w:t>
      </w:r>
      <w:r w:rsidR="00824D3B">
        <w:rPr>
          <w:rFonts w:eastAsia="Times New Roman" w:cs="Times New Roman"/>
          <w:b/>
          <w:kern w:val="2"/>
          <w:sz w:val="22"/>
          <w:szCs w:val="22"/>
        </w:rPr>
        <w:t>S</w:t>
      </w:r>
      <w:r w:rsidR="000F129C" w:rsidRPr="00F3279D">
        <w:rPr>
          <w:rFonts w:eastAsia="Times New Roman" w:cs="Times New Roman"/>
          <w:b/>
          <w:kern w:val="2"/>
          <w:sz w:val="22"/>
          <w:szCs w:val="22"/>
        </w:rPr>
        <w:t xml:space="preserve">:  </w:t>
      </w:r>
      <w:r w:rsidR="00824D3B" w:rsidRPr="00846D60">
        <w:rPr>
          <w:b/>
          <w:bCs/>
          <w:color w:val="000000"/>
          <w:sz w:val="22"/>
          <w:szCs w:val="22"/>
        </w:rPr>
        <w:t>Chapter 16. Continuing Education Requirements</w:t>
      </w:r>
    </w:p>
    <w:p w14:paraId="453F21B9" w14:textId="77777777" w:rsidR="00AA2EB0" w:rsidRPr="00440FE3" w:rsidRDefault="00AA2EB0" w:rsidP="00AA2EB0">
      <w:pPr>
        <w:spacing w:before="100" w:beforeAutospacing="1" w:after="100" w:afterAutospacing="1" w:line="240" w:lineRule="auto"/>
        <w:contextualSpacing/>
        <w:jc w:val="center"/>
        <w:rPr>
          <w:b/>
          <w:bCs/>
          <w:color w:val="000000"/>
          <w:sz w:val="22"/>
          <w:szCs w:val="22"/>
        </w:rPr>
      </w:pPr>
    </w:p>
    <w:p w14:paraId="21FD8C4D" w14:textId="77777777" w:rsidR="00AA2EB0" w:rsidRDefault="00AA2EB0" w:rsidP="00AA2EB0">
      <w:pPr>
        <w:pStyle w:val="WPNormal"/>
        <w:numPr>
          <w:ilvl w:val="0"/>
          <w:numId w:val="8"/>
        </w:num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rPr>
          <w:rFonts w:ascii="Palatino" w:hAnsi="Palatino"/>
          <w:sz w:val="20"/>
        </w:rPr>
      </w:pPr>
      <w:r w:rsidRPr="00DC0C63">
        <w:rPr>
          <w:rFonts w:ascii="Palatino" w:hAnsi="Palatino"/>
          <w:sz w:val="20"/>
        </w:rPr>
        <w:t>ESTIMATED IMPLEMENTATION COSTS (SAVINGS) TO STATE OR LOCAL</w:t>
      </w:r>
      <w:r>
        <w:rPr>
          <w:rFonts w:ascii="Palatino" w:hAnsi="Palatino"/>
          <w:sz w:val="20"/>
        </w:rPr>
        <w:t xml:space="preserve"> </w:t>
      </w:r>
      <w:r w:rsidRPr="00DC0C63">
        <w:rPr>
          <w:rFonts w:ascii="Palatino" w:hAnsi="Palatino"/>
          <w:sz w:val="20"/>
        </w:rPr>
        <w:t>GOVERNMENTAL</w:t>
      </w:r>
      <w:r>
        <w:rPr>
          <w:rFonts w:ascii="Palatino" w:hAnsi="Palatino"/>
          <w:sz w:val="20"/>
        </w:rPr>
        <w:t xml:space="preserve"> </w:t>
      </w:r>
      <w:r w:rsidRPr="00DC0C63">
        <w:rPr>
          <w:rFonts w:ascii="Palatino" w:hAnsi="Palatino"/>
          <w:sz w:val="20"/>
        </w:rPr>
        <w:t>UNITS</w:t>
      </w:r>
      <w:r>
        <w:rPr>
          <w:rFonts w:ascii="Palatino" w:hAnsi="Palatino"/>
          <w:sz w:val="20"/>
        </w:rPr>
        <w:t xml:space="preserve"> </w:t>
      </w:r>
      <w:r w:rsidRPr="00DC0C63">
        <w:rPr>
          <w:rFonts w:ascii="Palatino" w:hAnsi="Palatino"/>
          <w:sz w:val="20"/>
        </w:rPr>
        <w:t>(Summary)</w:t>
      </w:r>
      <w:r>
        <w:rPr>
          <w:rFonts w:ascii="Palatino" w:hAnsi="Palatino"/>
          <w:sz w:val="20"/>
        </w:rPr>
        <w:tab/>
      </w:r>
    </w:p>
    <w:p w14:paraId="16FC3480" w14:textId="77777777" w:rsidR="00AA2EB0" w:rsidRDefault="00AA2EB0" w:rsidP="00AA2EB0">
      <w:pPr>
        <w:pStyle w:val="WPNorma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Palatino" w:hAnsi="Palatino"/>
          <w:sz w:val="20"/>
        </w:rPr>
      </w:pPr>
      <w:r>
        <w:rPr>
          <w:rFonts w:ascii="Palatino" w:hAnsi="Palatino"/>
          <w:sz w:val="20"/>
        </w:rPr>
        <w:br/>
        <w:t xml:space="preserve">The proposed rule change may require a minimal increase in workload due to the administrative tracking, including updating continuing education (CE) documents and renewal instructions and verifying Medical Review Panel (MRP) participation when auditing CEs. </w:t>
      </w:r>
      <w:r w:rsidRPr="0059036F">
        <w:rPr>
          <w:rFonts w:ascii="Palatino" w:hAnsi="Palatino"/>
          <w:sz w:val="20"/>
        </w:rPr>
        <w:t xml:space="preserve">The </w:t>
      </w:r>
      <w:r>
        <w:rPr>
          <w:rFonts w:ascii="Palatino" w:hAnsi="Palatino"/>
          <w:sz w:val="20"/>
        </w:rPr>
        <w:t xml:space="preserve">Louisiana State Board of Dentistry expects to incur a one-time </w:t>
      </w:r>
      <w:r w:rsidRPr="0059036F">
        <w:rPr>
          <w:rFonts w:ascii="Palatino" w:hAnsi="Palatino"/>
          <w:sz w:val="20"/>
        </w:rPr>
        <w:t xml:space="preserve">cost </w:t>
      </w:r>
      <w:r>
        <w:rPr>
          <w:rFonts w:ascii="Palatino" w:hAnsi="Palatino"/>
          <w:sz w:val="20"/>
        </w:rPr>
        <w:t>of approximately</w:t>
      </w:r>
      <w:r w:rsidRPr="0059036F">
        <w:rPr>
          <w:rFonts w:ascii="Palatino" w:hAnsi="Palatino"/>
          <w:sz w:val="20"/>
        </w:rPr>
        <w:t xml:space="preserve"> $</w:t>
      </w:r>
      <w:r>
        <w:rPr>
          <w:rFonts w:ascii="Palatino" w:hAnsi="Palatino"/>
          <w:sz w:val="20"/>
        </w:rPr>
        <w:t>500</w:t>
      </w:r>
      <w:r w:rsidRPr="0059036F">
        <w:rPr>
          <w:rFonts w:ascii="Palatino" w:hAnsi="Palatino"/>
          <w:sz w:val="20"/>
        </w:rPr>
        <w:t xml:space="preserve"> in </w:t>
      </w:r>
      <w:r>
        <w:rPr>
          <w:rFonts w:ascii="Palatino" w:hAnsi="Palatino"/>
          <w:sz w:val="20"/>
        </w:rPr>
        <w:t>FY 2026</w:t>
      </w:r>
      <w:r w:rsidRPr="0059036F">
        <w:rPr>
          <w:rFonts w:ascii="Palatino" w:hAnsi="Palatino"/>
          <w:sz w:val="20"/>
        </w:rPr>
        <w:t xml:space="preserve"> for notice and publication </w:t>
      </w:r>
      <w:r>
        <w:rPr>
          <w:rFonts w:ascii="Palatino" w:hAnsi="Palatino"/>
          <w:sz w:val="20"/>
        </w:rPr>
        <w:t xml:space="preserve">of the rule </w:t>
      </w:r>
      <w:r w:rsidRPr="0059036F">
        <w:rPr>
          <w:rFonts w:ascii="Palatino" w:hAnsi="Palatino"/>
          <w:sz w:val="20"/>
        </w:rPr>
        <w:t xml:space="preserve">in the </w:t>
      </w:r>
      <w:r w:rsidRPr="00C25AB3">
        <w:rPr>
          <w:rFonts w:ascii="Palatino" w:hAnsi="Palatino"/>
          <w:i/>
          <w:iCs/>
          <w:sz w:val="20"/>
        </w:rPr>
        <w:t>Louisiana Register</w:t>
      </w:r>
      <w:r w:rsidRPr="0059036F">
        <w:rPr>
          <w:rFonts w:ascii="Palatino" w:hAnsi="Palatino"/>
          <w:sz w:val="20"/>
        </w:rPr>
        <w:t>.</w:t>
      </w:r>
      <w:r>
        <w:rPr>
          <w:rFonts w:ascii="Palatino" w:hAnsi="Palatino"/>
          <w:sz w:val="20"/>
        </w:rPr>
        <w:t xml:space="preserve"> The Legislative Fiscal Office anticipates the minimal workload increase and one-time payment for publication will be absorbed with existing resources. </w:t>
      </w:r>
    </w:p>
    <w:p w14:paraId="6476D3C3" w14:textId="77777777" w:rsidR="00AA2EB0" w:rsidRDefault="00AA2EB0" w:rsidP="00AA2EB0">
      <w:pPr>
        <w:pStyle w:val="WPNorma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Palatino" w:hAnsi="Palatino"/>
          <w:sz w:val="20"/>
        </w:rPr>
      </w:pPr>
    </w:p>
    <w:p w14:paraId="3DA6C1B2" w14:textId="77777777" w:rsidR="00AA2EB0" w:rsidRDefault="00AA2EB0" w:rsidP="00AA2EB0">
      <w:pPr>
        <w:pStyle w:val="WPNormal"/>
        <w:numPr>
          <w:ilvl w:val="0"/>
          <w:numId w:val="8"/>
        </w:num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rPr>
          <w:rFonts w:ascii="Palatino" w:hAnsi="Palatino"/>
          <w:sz w:val="20"/>
        </w:rPr>
      </w:pPr>
      <w:r w:rsidRPr="00DC0C63">
        <w:rPr>
          <w:rFonts w:ascii="Palatino" w:hAnsi="Palatino"/>
          <w:sz w:val="20"/>
        </w:rPr>
        <w:t>ESTIMATED EFFECT ON REVENUE COLLECTIONS OF STATE OR LOCAL GOVERNMENTAL UNITS (Summary)</w:t>
      </w:r>
      <w:r>
        <w:rPr>
          <w:rFonts w:ascii="Palatino" w:hAnsi="Palatino"/>
          <w:sz w:val="20"/>
        </w:rPr>
        <w:tab/>
      </w:r>
    </w:p>
    <w:p w14:paraId="4161AC0C" w14:textId="77777777" w:rsidR="00AA2EB0" w:rsidRDefault="00AA2EB0" w:rsidP="00AA2EB0">
      <w:pPr>
        <w:pStyle w:val="WPNorma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Palatino" w:hAnsi="Palatino"/>
          <w:sz w:val="20"/>
        </w:rPr>
      </w:pPr>
      <w:r>
        <w:rPr>
          <w:rFonts w:ascii="Palatino" w:hAnsi="Palatino"/>
          <w:sz w:val="20"/>
        </w:rPr>
        <w:br/>
      </w:r>
      <w:r w:rsidRPr="00735E76">
        <w:rPr>
          <w:rFonts w:ascii="Palatino" w:hAnsi="Palatino"/>
          <w:sz w:val="20"/>
        </w:rPr>
        <w:t>The proposed rule change</w:t>
      </w:r>
      <w:r>
        <w:rPr>
          <w:rFonts w:ascii="Palatino" w:hAnsi="Palatino"/>
          <w:sz w:val="20"/>
        </w:rPr>
        <w:t>s are</w:t>
      </w:r>
      <w:r w:rsidRPr="00735E76">
        <w:rPr>
          <w:rFonts w:ascii="Palatino" w:hAnsi="Palatino"/>
          <w:sz w:val="20"/>
        </w:rPr>
        <w:t xml:space="preserve"> not anticipated to </w:t>
      </w:r>
      <w:proofErr w:type="gramStart"/>
      <w:r w:rsidRPr="00735E76">
        <w:rPr>
          <w:rFonts w:ascii="Palatino" w:hAnsi="Palatino"/>
          <w:sz w:val="20"/>
        </w:rPr>
        <w:t>impact</w:t>
      </w:r>
      <w:proofErr w:type="gramEnd"/>
      <w:r w:rsidRPr="00735E76">
        <w:rPr>
          <w:rFonts w:ascii="Palatino" w:hAnsi="Palatino"/>
          <w:sz w:val="20"/>
        </w:rPr>
        <w:t xml:space="preserve"> the revenue collections of state or local governmental units.</w:t>
      </w:r>
    </w:p>
    <w:p w14:paraId="5B120ECA" w14:textId="77777777" w:rsidR="00AA2EB0" w:rsidRDefault="00AA2EB0" w:rsidP="00AA2EB0">
      <w:pPr>
        <w:pStyle w:val="WPNorma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Palatino" w:hAnsi="Palatino"/>
          <w:sz w:val="20"/>
        </w:rPr>
      </w:pPr>
    </w:p>
    <w:p w14:paraId="5ECE51B1" w14:textId="77777777" w:rsidR="00AA2EB0" w:rsidRDefault="00AA2EB0" w:rsidP="00AA2EB0">
      <w:pPr>
        <w:pStyle w:val="WPNormal"/>
        <w:numPr>
          <w:ilvl w:val="0"/>
          <w:numId w:val="8"/>
        </w:num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rPr>
          <w:rFonts w:ascii="Palatino" w:hAnsi="Palatino"/>
          <w:sz w:val="20"/>
        </w:rPr>
      </w:pPr>
      <w:r w:rsidRPr="00DC0C63">
        <w:rPr>
          <w:rFonts w:ascii="Palatino" w:hAnsi="Palatino"/>
          <w:sz w:val="20"/>
        </w:rPr>
        <w:t>ESTIMATED COSTS AND/OR ECONOMIC BENEFITS TO DIRECTLY AFFECTED PERSONS</w:t>
      </w:r>
      <w:r>
        <w:rPr>
          <w:rFonts w:ascii="Palatino" w:hAnsi="Palatino"/>
          <w:sz w:val="20"/>
        </w:rPr>
        <w:t xml:space="preserve">, SMALL BUSINESSES, </w:t>
      </w:r>
      <w:r w:rsidRPr="00DC0C63">
        <w:rPr>
          <w:rFonts w:ascii="Palatino" w:hAnsi="Palatino"/>
          <w:sz w:val="20"/>
        </w:rPr>
        <w:t>OR NON-GOVERNMENTAL GROUPS</w:t>
      </w:r>
      <w:r>
        <w:rPr>
          <w:rFonts w:ascii="Palatino" w:hAnsi="Palatino"/>
          <w:sz w:val="20"/>
        </w:rPr>
        <w:t xml:space="preserve"> (</w:t>
      </w:r>
      <w:r w:rsidRPr="00DC0C63">
        <w:rPr>
          <w:rFonts w:ascii="Palatino" w:hAnsi="Palatino"/>
          <w:sz w:val="20"/>
        </w:rPr>
        <w:t>Summary)</w:t>
      </w:r>
      <w:r>
        <w:rPr>
          <w:rFonts w:ascii="Palatino" w:hAnsi="Palatino"/>
          <w:sz w:val="20"/>
        </w:rPr>
        <w:tab/>
      </w:r>
    </w:p>
    <w:p w14:paraId="2C20EC3D" w14:textId="77777777" w:rsidR="00AA2EB0" w:rsidRDefault="00AA2EB0" w:rsidP="00AA2EB0">
      <w:pPr>
        <w:tabs>
          <w:tab w:val="left" w:pos="4860"/>
          <w:tab w:val="left" w:pos="6300"/>
        </w:tabs>
        <w:ind w:left="720" w:hanging="720"/>
        <w:jc w:val="both"/>
        <w:rPr>
          <w:rFonts w:ascii="Palatino" w:hAnsi="Palatino"/>
          <w:sz w:val="20"/>
        </w:rPr>
      </w:pPr>
    </w:p>
    <w:p w14:paraId="06139A15" w14:textId="77777777" w:rsidR="00AA2EB0" w:rsidRDefault="00AA2EB0" w:rsidP="00AA2EB0">
      <w:pPr>
        <w:pStyle w:val="WPNorma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Palatino" w:hAnsi="Palatino"/>
          <w:sz w:val="20"/>
        </w:rPr>
      </w:pPr>
      <w:r>
        <w:rPr>
          <w:rFonts w:ascii="Palatino" w:hAnsi="Palatino"/>
          <w:sz w:val="20"/>
        </w:rPr>
        <w:t xml:space="preserve">The proposed rule changes provide an economic benefit by encouraging qualified dentists and dental hygienists to participate in Medical Review Panels. Incentivizing the professionals with continuing education credit may improve panel availability and reduce delays in medical malpractice reviews. </w:t>
      </w:r>
    </w:p>
    <w:p w14:paraId="390ADAC4" w14:textId="77777777" w:rsidR="00AA2EB0" w:rsidRDefault="00AA2EB0" w:rsidP="00AA2EB0">
      <w:pPr>
        <w:pStyle w:val="WPNorma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Palatino" w:hAnsi="Palatino"/>
          <w:sz w:val="20"/>
        </w:rPr>
      </w:pPr>
    </w:p>
    <w:p w14:paraId="70776173" w14:textId="77777777" w:rsidR="00AA2EB0" w:rsidRDefault="00AA2EB0" w:rsidP="00AA2EB0">
      <w:pPr>
        <w:pStyle w:val="WPNormal"/>
        <w:keepNext/>
        <w:keepLines/>
        <w:numPr>
          <w:ilvl w:val="0"/>
          <w:numId w:val="8"/>
        </w:num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jc w:val="left"/>
        <w:rPr>
          <w:rFonts w:ascii="Palatino" w:hAnsi="Palatino"/>
          <w:sz w:val="20"/>
        </w:rPr>
      </w:pPr>
      <w:r w:rsidRPr="00DC0C63">
        <w:rPr>
          <w:rFonts w:ascii="Palatino" w:hAnsi="Palatino"/>
          <w:sz w:val="20"/>
        </w:rPr>
        <w:t>ESTIMATED EFFECT ON COMPETITION AND EMPLOYMENT (Summary)</w:t>
      </w:r>
      <w:r>
        <w:rPr>
          <w:rFonts w:ascii="Palatino" w:hAnsi="Palatino"/>
          <w:sz w:val="20"/>
        </w:rPr>
        <w:tab/>
      </w:r>
    </w:p>
    <w:p w14:paraId="2EE26739" w14:textId="77777777" w:rsidR="00AA2EB0" w:rsidRDefault="00AA2EB0" w:rsidP="00AA2EB0">
      <w:pPr>
        <w:pStyle w:val="WPNormal"/>
        <w:keepNext/>
        <w:keepLines/>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Palatino" w:hAnsi="Palatino"/>
          <w:sz w:val="20"/>
        </w:rPr>
      </w:pPr>
    </w:p>
    <w:p w14:paraId="3E9EC5A8" w14:textId="77777777" w:rsidR="00AA2EB0" w:rsidRDefault="00AA2EB0" w:rsidP="00AA2EB0">
      <w:pPr>
        <w:pStyle w:val="WPNormal"/>
        <w:keepNext/>
        <w:keepLines/>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jc w:val="left"/>
        <w:rPr>
          <w:rFonts w:ascii="Palatino" w:hAnsi="Palatino"/>
          <w:sz w:val="20"/>
        </w:rPr>
      </w:pPr>
      <w:r w:rsidRPr="004E1F6F">
        <w:rPr>
          <w:rFonts w:ascii="Palatino" w:hAnsi="Palatino"/>
          <w:sz w:val="20"/>
        </w:rPr>
        <w:t>The proposed rule change will have no effect on competition or employment.</w:t>
      </w:r>
    </w:p>
    <w:p w14:paraId="6C11909A" w14:textId="77777777" w:rsidR="00AA2EB0" w:rsidRDefault="00AA2EB0" w:rsidP="00AA2EB0">
      <w:pPr>
        <w:pStyle w:val="WPNormal"/>
        <w:keepNext/>
        <w:keepLines/>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jc w:val="left"/>
        <w:rPr>
          <w:rFonts w:ascii="Palatino" w:hAnsi="Palatino"/>
          <w:sz w:val="20"/>
        </w:rPr>
      </w:pPr>
    </w:p>
    <w:p w14:paraId="78E5443A" w14:textId="77777777" w:rsidR="00AA2EB0" w:rsidRDefault="00AA2EB0" w:rsidP="00AA2EB0">
      <w:pPr>
        <w:pStyle w:val="WPNormal"/>
        <w:keepNext/>
        <w:keepLines/>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jc w:val="left"/>
        <w:rPr>
          <w:rFonts w:ascii="Palatino" w:hAnsi="Palatino"/>
          <w:sz w:val="20"/>
        </w:rPr>
      </w:pPr>
    </w:p>
    <w:p w14:paraId="0E774EA6" w14:textId="77777777" w:rsidR="00AA2EB0" w:rsidRDefault="00AA2EB0" w:rsidP="00AA2EB0">
      <w:pPr>
        <w:pStyle w:val="WPNormal"/>
        <w:keepNext/>
        <w:keepLines/>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jc w:val="left"/>
        <w:rPr>
          <w:rFonts w:asciiTheme="minorHAnsi" w:hAnsiTheme="minorHAnsi" w:cstheme="minorHAnsi"/>
          <w:sz w:val="21"/>
          <w:szCs w:val="21"/>
        </w:rPr>
      </w:pPr>
      <w:r w:rsidRPr="003352E6">
        <w:rPr>
          <w:rFonts w:asciiTheme="minorHAnsi" w:hAnsiTheme="minorHAnsi" w:cstheme="minorHAnsi"/>
          <w:sz w:val="21"/>
          <w:szCs w:val="21"/>
        </w:rPr>
        <w:tab/>
      </w:r>
    </w:p>
    <w:p w14:paraId="1210E73C" w14:textId="77777777" w:rsidR="00AA2EB0" w:rsidRPr="003352E6" w:rsidRDefault="00AA2EB0" w:rsidP="00AA2EB0">
      <w:pPr>
        <w:tabs>
          <w:tab w:val="left" w:pos="1530"/>
          <w:tab w:val="left" w:pos="4860"/>
          <w:tab w:val="left" w:pos="6300"/>
        </w:tabs>
        <w:spacing w:after="0" w:line="240" w:lineRule="auto"/>
        <w:ind w:left="720" w:hanging="720"/>
        <w:jc w:val="both"/>
        <w:rPr>
          <w:rFonts w:eastAsia="Times New Roman" w:cs="Calibri"/>
          <w:sz w:val="21"/>
          <w:szCs w:val="21"/>
        </w:rPr>
      </w:pPr>
      <w:r w:rsidRPr="003352E6">
        <w:rPr>
          <w:rFonts w:eastAsia="Times New Roman" w:cs="Calibri"/>
          <w:sz w:val="21"/>
          <w:szCs w:val="21"/>
        </w:rPr>
        <w:t>Arthur Hickham, Jr.</w:t>
      </w:r>
    </w:p>
    <w:p w14:paraId="1DE8CA05" w14:textId="2D83B3BA" w:rsidR="00F3279D" w:rsidRPr="003352E6" w:rsidRDefault="00AA2EB0" w:rsidP="00AA2EB0">
      <w:pPr>
        <w:spacing w:before="100" w:beforeAutospacing="1" w:after="100" w:afterAutospacing="1" w:line="240" w:lineRule="auto"/>
        <w:contextualSpacing/>
        <w:rPr>
          <w:rFonts w:asciiTheme="minorHAnsi" w:eastAsia="Times New Roman" w:hAnsiTheme="minorHAnsi" w:cstheme="minorHAnsi"/>
          <w:bCs/>
          <w:color w:val="000000"/>
          <w:sz w:val="21"/>
          <w:szCs w:val="21"/>
        </w:rPr>
      </w:pPr>
      <w:r w:rsidRPr="003352E6">
        <w:rPr>
          <w:rFonts w:eastAsia="Times New Roman" w:cs="Calibri"/>
          <w:sz w:val="21"/>
          <w:szCs w:val="21"/>
        </w:rPr>
        <w:t>Executive Director</w:t>
      </w:r>
      <w:r w:rsidRPr="003352E6">
        <w:rPr>
          <w:rFonts w:asciiTheme="minorHAnsi" w:eastAsia="Times New Roman" w:hAnsiTheme="minorHAnsi" w:cstheme="minorHAnsi"/>
          <w:color w:val="000000"/>
          <w:sz w:val="21"/>
          <w:szCs w:val="21"/>
        </w:rPr>
        <w:tab/>
      </w:r>
    </w:p>
    <w:sectPr w:rsidR="00F3279D" w:rsidRPr="003352E6" w:rsidSect="002678F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DF1A5" w14:textId="77777777" w:rsidR="00AE66BB" w:rsidRDefault="00AE66BB" w:rsidP="00AE66BB">
      <w:pPr>
        <w:spacing w:after="0" w:line="240" w:lineRule="auto"/>
      </w:pPr>
      <w:r>
        <w:separator/>
      </w:r>
    </w:p>
  </w:endnote>
  <w:endnote w:type="continuationSeparator" w:id="0">
    <w:p w14:paraId="1BF1F894" w14:textId="77777777" w:rsidR="00AE66BB" w:rsidRDefault="00AE66BB" w:rsidP="00AE6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ew Century Schlbk">
    <w:altName w:val="Century Schoolbook"/>
    <w:panose1 w:val="00000000000000000000"/>
    <w:charset w:val="4D"/>
    <w:family w:val="auto"/>
    <w:notTrueType/>
    <w:pitch w:val="default"/>
    <w:sig w:usb0="03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Palatino">
    <w:altName w:val="Book Antiqua"/>
    <w:charset w:val="00"/>
    <w:family w:val="auto"/>
    <w:pitch w:val="variable"/>
    <w:sig w:usb0="A00002FF" w:usb1="7800205A" w:usb2="146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CC954" w14:textId="77777777" w:rsidR="00AE66BB" w:rsidRDefault="00AE66BB" w:rsidP="00AE66BB">
      <w:pPr>
        <w:spacing w:after="0" w:line="240" w:lineRule="auto"/>
      </w:pPr>
      <w:r>
        <w:separator/>
      </w:r>
    </w:p>
  </w:footnote>
  <w:footnote w:type="continuationSeparator" w:id="0">
    <w:p w14:paraId="350936B6" w14:textId="77777777" w:rsidR="00AE66BB" w:rsidRDefault="00AE66BB" w:rsidP="00AE66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E029C"/>
    <w:multiLevelType w:val="hybridMultilevel"/>
    <w:tmpl w:val="373096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2109CF"/>
    <w:multiLevelType w:val="hybridMultilevel"/>
    <w:tmpl w:val="3030F4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5D37A2"/>
    <w:multiLevelType w:val="hybridMultilevel"/>
    <w:tmpl w:val="46267BF2"/>
    <w:lvl w:ilvl="0" w:tplc="6C186F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94C0C08"/>
    <w:multiLevelType w:val="hybridMultilevel"/>
    <w:tmpl w:val="2D0C72EE"/>
    <w:lvl w:ilvl="0" w:tplc="48AA1D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EED04FF"/>
    <w:multiLevelType w:val="hybridMultilevel"/>
    <w:tmpl w:val="36F6DB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590F15"/>
    <w:multiLevelType w:val="hybridMultilevel"/>
    <w:tmpl w:val="FF2A9726"/>
    <w:lvl w:ilvl="0" w:tplc="5840F21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0F24073"/>
    <w:multiLevelType w:val="hybridMultilevel"/>
    <w:tmpl w:val="1BF4ADCC"/>
    <w:lvl w:ilvl="0" w:tplc="3350E7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3F55F0E"/>
    <w:multiLevelType w:val="hybridMultilevel"/>
    <w:tmpl w:val="D854A2AC"/>
    <w:lvl w:ilvl="0" w:tplc="201C215A">
      <w:start w:val="1"/>
      <w:numFmt w:val="upperLetter"/>
      <w:lvlText w:val="%1."/>
      <w:lvlJc w:val="left"/>
      <w:pPr>
        <w:ind w:left="104" w:hanging="353"/>
      </w:pPr>
      <w:rPr>
        <w:rFonts w:asciiTheme="minorHAnsi" w:eastAsia="Times New Roman" w:hAnsiTheme="minorHAnsi" w:cstheme="minorHAnsi" w:hint="default"/>
        <w:b w:val="0"/>
        <w:bCs w:val="0"/>
        <w:i w:val="0"/>
        <w:iCs w:val="0"/>
        <w:spacing w:val="-3"/>
        <w:w w:val="99"/>
        <w:sz w:val="22"/>
        <w:szCs w:val="22"/>
        <w:lang w:val="en-US" w:eastAsia="en-US" w:bidi="ar-SA"/>
      </w:rPr>
    </w:lvl>
    <w:lvl w:ilvl="1" w:tplc="336AF75E">
      <w:numFmt w:val="bullet"/>
      <w:lvlText w:val="•"/>
      <w:lvlJc w:val="left"/>
      <w:pPr>
        <w:ind w:left="602" w:hanging="353"/>
      </w:pPr>
      <w:rPr>
        <w:lang w:val="en-US" w:eastAsia="en-US" w:bidi="ar-SA"/>
      </w:rPr>
    </w:lvl>
    <w:lvl w:ilvl="2" w:tplc="8D046850">
      <w:numFmt w:val="bullet"/>
      <w:lvlText w:val="•"/>
      <w:lvlJc w:val="left"/>
      <w:pPr>
        <w:ind w:left="1104" w:hanging="353"/>
      </w:pPr>
      <w:rPr>
        <w:lang w:val="en-US" w:eastAsia="en-US" w:bidi="ar-SA"/>
      </w:rPr>
    </w:lvl>
    <w:lvl w:ilvl="3" w:tplc="621A172C">
      <w:numFmt w:val="bullet"/>
      <w:lvlText w:val="•"/>
      <w:lvlJc w:val="left"/>
      <w:pPr>
        <w:ind w:left="1606" w:hanging="353"/>
      </w:pPr>
      <w:rPr>
        <w:lang w:val="en-US" w:eastAsia="en-US" w:bidi="ar-SA"/>
      </w:rPr>
    </w:lvl>
    <w:lvl w:ilvl="4" w:tplc="688EB0E6">
      <w:numFmt w:val="bullet"/>
      <w:lvlText w:val="•"/>
      <w:lvlJc w:val="left"/>
      <w:pPr>
        <w:ind w:left="2109" w:hanging="353"/>
      </w:pPr>
      <w:rPr>
        <w:lang w:val="en-US" w:eastAsia="en-US" w:bidi="ar-SA"/>
      </w:rPr>
    </w:lvl>
    <w:lvl w:ilvl="5" w:tplc="F146D222">
      <w:numFmt w:val="bullet"/>
      <w:lvlText w:val="•"/>
      <w:lvlJc w:val="left"/>
      <w:pPr>
        <w:ind w:left="2611" w:hanging="353"/>
      </w:pPr>
      <w:rPr>
        <w:lang w:val="en-US" w:eastAsia="en-US" w:bidi="ar-SA"/>
      </w:rPr>
    </w:lvl>
    <w:lvl w:ilvl="6" w:tplc="15DA8F26">
      <w:numFmt w:val="bullet"/>
      <w:lvlText w:val="•"/>
      <w:lvlJc w:val="left"/>
      <w:pPr>
        <w:ind w:left="3113" w:hanging="353"/>
      </w:pPr>
      <w:rPr>
        <w:lang w:val="en-US" w:eastAsia="en-US" w:bidi="ar-SA"/>
      </w:rPr>
    </w:lvl>
    <w:lvl w:ilvl="7" w:tplc="0AB2904E">
      <w:numFmt w:val="bullet"/>
      <w:lvlText w:val="•"/>
      <w:lvlJc w:val="left"/>
      <w:pPr>
        <w:ind w:left="3616" w:hanging="353"/>
      </w:pPr>
      <w:rPr>
        <w:lang w:val="en-US" w:eastAsia="en-US" w:bidi="ar-SA"/>
      </w:rPr>
    </w:lvl>
    <w:lvl w:ilvl="8" w:tplc="A4E464C8">
      <w:numFmt w:val="bullet"/>
      <w:lvlText w:val="•"/>
      <w:lvlJc w:val="left"/>
      <w:pPr>
        <w:ind w:left="4118" w:hanging="353"/>
      </w:pPr>
      <w:rPr>
        <w:lang w:val="en-US" w:eastAsia="en-US" w:bidi="ar-SA"/>
      </w:rPr>
    </w:lvl>
  </w:abstractNum>
  <w:num w:numId="1" w16cid:durableId="1458642631">
    <w:abstractNumId w:val="1"/>
  </w:num>
  <w:num w:numId="2" w16cid:durableId="1711421048">
    <w:abstractNumId w:val="4"/>
  </w:num>
  <w:num w:numId="3" w16cid:durableId="1070350357">
    <w:abstractNumId w:val="3"/>
  </w:num>
  <w:num w:numId="4" w16cid:durableId="2003653986">
    <w:abstractNumId w:val="2"/>
  </w:num>
  <w:num w:numId="5" w16cid:durableId="1690637568">
    <w:abstractNumId w:val="6"/>
  </w:num>
  <w:num w:numId="6" w16cid:durableId="937787266">
    <w:abstractNumId w:val="0"/>
  </w:num>
  <w:num w:numId="7" w16cid:durableId="100297486">
    <w:abstractNumId w:val="7"/>
    <w:lvlOverride w:ilvl="0">
      <w:startOverride w:val="1"/>
    </w:lvlOverride>
    <w:lvlOverride w:ilvl="1"/>
    <w:lvlOverride w:ilvl="2"/>
    <w:lvlOverride w:ilvl="3"/>
    <w:lvlOverride w:ilvl="4"/>
    <w:lvlOverride w:ilvl="5"/>
    <w:lvlOverride w:ilvl="6"/>
    <w:lvlOverride w:ilvl="7"/>
    <w:lvlOverride w:ilvl="8"/>
  </w:num>
  <w:num w:numId="8" w16cid:durableId="7769446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F1A"/>
    <w:rsid w:val="0003318D"/>
    <w:rsid w:val="00037693"/>
    <w:rsid w:val="00047A42"/>
    <w:rsid w:val="00066108"/>
    <w:rsid w:val="000730D0"/>
    <w:rsid w:val="0007775F"/>
    <w:rsid w:val="00096A41"/>
    <w:rsid w:val="000C16E6"/>
    <w:rsid w:val="000C52CD"/>
    <w:rsid w:val="000F129C"/>
    <w:rsid w:val="000F2D25"/>
    <w:rsid w:val="00113791"/>
    <w:rsid w:val="001160DE"/>
    <w:rsid w:val="00123FA6"/>
    <w:rsid w:val="0013517A"/>
    <w:rsid w:val="00135536"/>
    <w:rsid w:val="00135C76"/>
    <w:rsid w:val="0013683D"/>
    <w:rsid w:val="00136F5E"/>
    <w:rsid w:val="00161F73"/>
    <w:rsid w:val="001651F8"/>
    <w:rsid w:val="001672C1"/>
    <w:rsid w:val="00171999"/>
    <w:rsid w:val="00176D21"/>
    <w:rsid w:val="001839AF"/>
    <w:rsid w:val="0019438E"/>
    <w:rsid w:val="001950B6"/>
    <w:rsid w:val="001B4FFD"/>
    <w:rsid w:val="001C7E90"/>
    <w:rsid w:val="001D0DFD"/>
    <w:rsid w:val="001D1F52"/>
    <w:rsid w:val="001D6857"/>
    <w:rsid w:val="001E77E1"/>
    <w:rsid w:val="00237DEC"/>
    <w:rsid w:val="002678F3"/>
    <w:rsid w:val="00267FE8"/>
    <w:rsid w:val="002C4AEB"/>
    <w:rsid w:val="002E269B"/>
    <w:rsid w:val="002F52C2"/>
    <w:rsid w:val="00324776"/>
    <w:rsid w:val="0033088B"/>
    <w:rsid w:val="00331C91"/>
    <w:rsid w:val="003352E6"/>
    <w:rsid w:val="003429FA"/>
    <w:rsid w:val="00360BF1"/>
    <w:rsid w:val="00384A92"/>
    <w:rsid w:val="00385BC2"/>
    <w:rsid w:val="00387204"/>
    <w:rsid w:val="003A0261"/>
    <w:rsid w:val="003B023B"/>
    <w:rsid w:val="003B61CB"/>
    <w:rsid w:val="003C0522"/>
    <w:rsid w:val="003C0BB9"/>
    <w:rsid w:val="003C343C"/>
    <w:rsid w:val="003D5D0C"/>
    <w:rsid w:val="003E100E"/>
    <w:rsid w:val="003F113A"/>
    <w:rsid w:val="003F3260"/>
    <w:rsid w:val="0041410D"/>
    <w:rsid w:val="00417308"/>
    <w:rsid w:val="00424D06"/>
    <w:rsid w:val="00451780"/>
    <w:rsid w:val="00452FD8"/>
    <w:rsid w:val="0046008F"/>
    <w:rsid w:val="00474270"/>
    <w:rsid w:val="004821B3"/>
    <w:rsid w:val="004B4E37"/>
    <w:rsid w:val="004B7486"/>
    <w:rsid w:val="004E66CA"/>
    <w:rsid w:val="004F48A5"/>
    <w:rsid w:val="004F651A"/>
    <w:rsid w:val="00500AD1"/>
    <w:rsid w:val="005030E9"/>
    <w:rsid w:val="00513EEC"/>
    <w:rsid w:val="00520F02"/>
    <w:rsid w:val="00530F1A"/>
    <w:rsid w:val="005366FC"/>
    <w:rsid w:val="00546FB8"/>
    <w:rsid w:val="005606EF"/>
    <w:rsid w:val="005719DB"/>
    <w:rsid w:val="00573F91"/>
    <w:rsid w:val="00574BEE"/>
    <w:rsid w:val="00574F61"/>
    <w:rsid w:val="005959F4"/>
    <w:rsid w:val="005F0E64"/>
    <w:rsid w:val="005F70FB"/>
    <w:rsid w:val="00603176"/>
    <w:rsid w:val="00627F12"/>
    <w:rsid w:val="00632275"/>
    <w:rsid w:val="00632384"/>
    <w:rsid w:val="00645A68"/>
    <w:rsid w:val="006628E7"/>
    <w:rsid w:val="006724CB"/>
    <w:rsid w:val="006908A5"/>
    <w:rsid w:val="006B3523"/>
    <w:rsid w:val="006C220A"/>
    <w:rsid w:val="006D4748"/>
    <w:rsid w:val="006D65D0"/>
    <w:rsid w:val="006E191A"/>
    <w:rsid w:val="006F72BB"/>
    <w:rsid w:val="007030C6"/>
    <w:rsid w:val="00716B7E"/>
    <w:rsid w:val="007728FE"/>
    <w:rsid w:val="00776034"/>
    <w:rsid w:val="007769B6"/>
    <w:rsid w:val="00793DEB"/>
    <w:rsid w:val="00794699"/>
    <w:rsid w:val="007A2AE2"/>
    <w:rsid w:val="007A4F7A"/>
    <w:rsid w:val="007D2A09"/>
    <w:rsid w:val="007D6CB6"/>
    <w:rsid w:val="007F1F9D"/>
    <w:rsid w:val="00810716"/>
    <w:rsid w:val="0081330C"/>
    <w:rsid w:val="00816BCF"/>
    <w:rsid w:val="0082271A"/>
    <w:rsid w:val="00824006"/>
    <w:rsid w:val="00824BEC"/>
    <w:rsid w:val="00824D3B"/>
    <w:rsid w:val="00825404"/>
    <w:rsid w:val="00836E26"/>
    <w:rsid w:val="00842F9C"/>
    <w:rsid w:val="00846D60"/>
    <w:rsid w:val="00852515"/>
    <w:rsid w:val="00870870"/>
    <w:rsid w:val="008904E0"/>
    <w:rsid w:val="008B4EF8"/>
    <w:rsid w:val="008C3523"/>
    <w:rsid w:val="008D1084"/>
    <w:rsid w:val="008D2B9D"/>
    <w:rsid w:val="008F53C7"/>
    <w:rsid w:val="00915A0B"/>
    <w:rsid w:val="00925085"/>
    <w:rsid w:val="0093321D"/>
    <w:rsid w:val="0095022A"/>
    <w:rsid w:val="0095076B"/>
    <w:rsid w:val="009832C5"/>
    <w:rsid w:val="00984569"/>
    <w:rsid w:val="009845FF"/>
    <w:rsid w:val="00986335"/>
    <w:rsid w:val="00991391"/>
    <w:rsid w:val="009A58CB"/>
    <w:rsid w:val="009E084C"/>
    <w:rsid w:val="009E7F71"/>
    <w:rsid w:val="009F3F97"/>
    <w:rsid w:val="009F67E6"/>
    <w:rsid w:val="00A11E66"/>
    <w:rsid w:val="00A158A2"/>
    <w:rsid w:val="00A2244C"/>
    <w:rsid w:val="00A41161"/>
    <w:rsid w:val="00A46538"/>
    <w:rsid w:val="00A715CB"/>
    <w:rsid w:val="00A83336"/>
    <w:rsid w:val="00AA0920"/>
    <w:rsid w:val="00AA2EB0"/>
    <w:rsid w:val="00AB266C"/>
    <w:rsid w:val="00AB623E"/>
    <w:rsid w:val="00AC5332"/>
    <w:rsid w:val="00AD0AE1"/>
    <w:rsid w:val="00AE66BB"/>
    <w:rsid w:val="00B026E2"/>
    <w:rsid w:val="00B46FE6"/>
    <w:rsid w:val="00B47352"/>
    <w:rsid w:val="00B82251"/>
    <w:rsid w:val="00B91D90"/>
    <w:rsid w:val="00BA3B6A"/>
    <w:rsid w:val="00BC5D41"/>
    <w:rsid w:val="00BD6455"/>
    <w:rsid w:val="00BD66B2"/>
    <w:rsid w:val="00C06DA6"/>
    <w:rsid w:val="00C12452"/>
    <w:rsid w:val="00C2291B"/>
    <w:rsid w:val="00C46137"/>
    <w:rsid w:val="00C57030"/>
    <w:rsid w:val="00C5798B"/>
    <w:rsid w:val="00C825E5"/>
    <w:rsid w:val="00C8692B"/>
    <w:rsid w:val="00CC5FB5"/>
    <w:rsid w:val="00CC7FAC"/>
    <w:rsid w:val="00CE495B"/>
    <w:rsid w:val="00CF2ED6"/>
    <w:rsid w:val="00CF5E3A"/>
    <w:rsid w:val="00D00F8E"/>
    <w:rsid w:val="00D05FD7"/>
    <w:rsid w:val="00D118D6"/>
    <w:rsid w:val="00D11BEA"/>
    <w:rsid w:val="00D15D40"/>
    <w:rsid w:val="00D21CC8"/>
    <w:rsid w:val="00D62D29"/>
    <w:rsid w:val="00D66D06"/>
    <w:rsid w:val="00D734E1"/>
    <w:rsid w:val="00D73EB6"/>
    <w:rsid w:val="00D76BD8"/>
    <w:rsid w:val="00D771F6"/>
    <w:rsid w:val="00D80212"/>
    <w:rsid w:val="00D92588"/>
    <w:rsid w:val="00DF5B09"/>
    <w:rsid w:val="00E122F4"/>
    <w:rsid w:val="00E14675"/>
    <w:rsid w:val="00E206E8"/>
    <w:rsid w:val="00E6043F"/>
    <w:rsid w:val="00E60616"/>
    <w:rsid w:val="00EC70F0"/>
    <w:rsid w:val="00EE3715"/>
    <w:rsid w:val="00EE64C2"/>
    <w:rsid w:val="00F3279D"/>
    <w:rsid w:val="00F461C1"/>
    <w:rsid w:val="00F53A7D"/>
    <w:rsid w:val="00FA3206"/>
    <w:rsid w:val="00FA66DF"/>
    <w:rsid w:val="00FB70A9"/>
    <w:rsid w:val="00FC3053"/>
    <w:rsid w:val="00FD211F"/>
    <w:rsid w:val="00FD4874"/>
    <w:rsid w:val="00FD5767"/>
    <w:rsid w:val="00FD5C9F"/>
    <w:rsid w:val="00FE35D5"/>
    <w:rsid w:val="00FF743C"/>
    <w:rsid w:val="00FF7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3C382"/>
  <w15:docId w15:val="{EE3DD523-0FD0-46B3-A9C8-554EBA91D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aj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E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
    <w:name w:val="Section"/>
    <w:basedOn w:val="Normal"/>
    <w:link w:val="SectionChar"/>
    <w:rsid w:val="00530F1A"/>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rFonts w:ascii="Times New Roman" w:eastAsia="Times New Roman" w:hAnsi="Times New Roman" w:cs="Times New Roman"/>
      <w:b/>
      <w:kern w:val="2"/>
      <w:sz w:val="20"/>
      <w:szCs w:val="20"/>
    </w:rPr>
  </w:style>
  <w:style w:type="character" w:customStyle="1" w:styleId="SectionChar">
    <w:name w:val="Section Char"/>
    <w:link w:val="Section"/>
    <w:locked/>
    <w:rsid w:val="00530F1A"/>
    <w:rPr>
      <w:rFonts w:ascii="Times New Roman" w:eastAsia="Times New Roman" w:hAnsi="Times New Roman" w:cs="Times New Roman"/>
      <w:b/>
      <w:kern w:val="2"/>
      <w:sz w:val="20"/>
      <w:szCs w:val="20"/>
    </w:rPr>
  </w:style>
  <w:style w:type="paragraph" w:styleId="NoSpacing">
    <w:name w:val="No Spacing"/>
    <w:uiPriority w:val="1"/>
    <w:qFormat/>
    <w:rsid w:val="00530F1A"/>
    <w:pPr>
      <w:spacing w:after="0" w:line="240" w:lineRule="auto"/>
    </w:pPr>
  </w:style>
  <w:style w:type="paragraph" w:customStyle="1" w:styleId="HistoricalNote">
    <w:name w:val="Historical Note"/>
    <w:basedOn w:val="Normal"/>
    <w:link w:val="HistoricalNoteChar"/>
    <w:rsid w:val="00360BF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line="240" w:lineRule="auto"/>
      <w:ind w:firstLine="187"/>
      <w:jc w:val="both"/>
    </w:pPr>
    <w:rPr>
      <w:rFonts w:ascii="Times New Roman" w:eastAsia="Times New Roman" w:hAnsi="Times New Roman" w:cs="Times New Roman"/>
      <w:kern w:val="2"/>
      <w:sz w:val="18"/>
      <w:szCs w:val="20"/>
    </w:rPr>
  </w:style>
  <w:style w:type="character" w:customStyle="1" w:styleId="HistoricalNoteChar">
    <w:name w:val="Historical Note Char"/>
    <w:basedOn w:val="DefaultParagraphFont"/>
    <w:link w:val="HistoricalNote"/>
    <w:rsid w:val="00360BF1"/>
    <w:rPr>
      <w:rFonts w:ascii="Times New Roman" w:eastAsia="Times New Roman" w:hAnsi="Times New Roman" w:cs="Times New Roman"/>
      <w:kern w:val="2"/>
      <w:sz w:val="18"/>
      <w:szCs w:val="20"/>
    </w:rPr>
  </w:style>
  <w:style w:type="paragraph" w:customStyle="1" w:styleId="AuthorityNote">
    <w:name w:val="Authority Note"/>
    <w:basedOn w:val="Normal"/>
    <w:link w:val="AuthorityNoteChar"/>
    <w:rsid w:val="00360BF1"/>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ind w:firstLine="187"/>
      <w:jc w:val="both"/>
    </w:pPr>
    <w:rPr>
      <w:rFonts w:ascii="Times New Roman" w:eastAsia="Times New Roman" w:hAnsi="Times New Roman" w:cs="Times New Roman"/>
      <w:kern w:val="2"/>
      <w:sz w:val="18"/>
      <w:szCs w:val="20"/>
    </w:rPr>
  </w:style>
  <w:style w:type="character" w:customStyle="1" w:styleId="AuthorityNoteChar">
    <w:name w:val="Authority Note Char"/>
    <w:basedOn w:val="DefaultParagraphFont"/>
    <w:link w:val="AuthorityNote"/>
    <w:locked/>
    <w:rsid w:val="00360BF1"/>
    <w:rPr>
      <w:rFonts w:ascii="Times New Roman" w:eastAsia="Times New Roman" w:hAnsi="Times New Roman" w:cs="Times New Roman"/>
      <w:kern w:val="2"/>
      <w:sz w:val="18"/>
      <w:szCs w:val="20"/>
    </w:rPr>
  </w:style>
  <w:style w:type="paragraph" w:customStyle="1" w:styleId="A">
    <w:name w:val="A."/>
    <w:basedOn w:val="Normal"/>
    <w:link w:val="AChar"/>
    <w:rsid w:val="0095022A"/>
    <w:pPr>
      <w:tabs>
        <w:tab w:val="left" w:pos="187"/>
        <w:tab w:val="left" w:pos="540"/>
        <w:tab w:val="left" w:pos="4500"/>
        <w:tab w:val="left" w:pos="4680"/>
        <w:tab w:val="left" w:pos="4860"/>
        <w:tab w:val="left" w:pos="5040"/>
        <w:tab w:val="left" w:pos="7200"/>
      </w:tabs>
      <w:spacing w:after="120" w:line="240" w:lineRule="auto"/>
      <w:ind w:firstLine="187"/>
      <w:jc w:val="both"/>
      <w:outlineLvl w:val="3"/>
    </w:pPr>
    <w:rPr>
      <w:rFonts w:ascii="Times New Roman" w:eastAsia="Times New Roman" w:hAnsi="Times New Roman" w:cs="Times New Roman"/>
      <w:kern w:val="2"/>
      <w:sz w:val="20"/>
      <w:szCs w:val="20"/>
    </w:rPr>
  </w:style>
  <w:style w:type="character" w:customStyle="1" w:styleId="AChar">
    <w:name w:val="A. Char"/>
    <w:basedOn w:val="DefaultParagraphFont"/>
    <w:link w:val="A"/>
    <w:rsid w:val="0095022A"/>
    <w:rPr>
      <w:rFonts w:ascii="Times New Roman" w:eastAsia="Times New Roman" w:hAnsi="Times New Roman" w:cs="Times New Roman"/>
      <w:kern w:val="2"/>
      <w:sz w:val="20"/>
      <w:szCs w:val="20"/>
    </w:rPr>
  </w:style>
  <w:style w:type="paragraph" w:customStyle="1" w:styleId="1">
    <w:name w:val="1."/>
    <w:basedOn w:val="Normal"/>
    <w:link w:val="1Char"/>
    <w:rsid w:val="0095022A"/>
    <w:pPr>
      <w:tabs>
        <w:tab w:val="left" w:pos="720"/>
        <w:tab w:val="left" w:pos="979"/>
        <w:tab w:val="left" w:pos="1152"/>
        <w:tab w:val="left" w:pos="4500"/>
        <w:tab w:val="left" w:pos="4680"/>
        <w:tab w:val="left" w:pos="4860"/>
        <w:tab w:val="left" w:pos="5040"/>
        <w:tab w:val="left" w:pos="7200"/>
      </w:tabs>
      <w:spacing w:after="120" w:line="240" w:lineRule="auto"/>
      <w:ind w:firstLine="360"/>
      <w:jc w:val="both"/>
      <w:outlineLvl w:val="4"/>
    </w:pPr>
    <w:rPr>
      <w:rFonts w:ascii="Times New Roman" w:eastAsia="Times New Roman" w:hAnsi="Times New Roman" w:cs="Times New Roman"/>
      <w:kern w:val="2"/>
      <w:sz w:val="20"/>
      <w:szCs w:val="20"/>
    </w:rPr>
  </w:style>
  <w:style w:type="character" w:customStyle="1" w:styleId="1Char">
    <w:name w:val="1. Char"/>
    <w:basedOn w:val="DefaultParagraphFont"/>
    <w:link w:val="1"/>
    <w:rsid w:val="0095022A"/>
    <w:rPr>
      <w:rFonts w:ascii="Times New Roman" w:eastAsia="Times New Roman" w:hAnsi="Times New Roman" w:cs="Times New Roman"/>
      <w:kern w:val="2"/>
      <w:sz w:val="20"/>
      <w:szCs w:val="20"/>
    </w:rPr>
  </w:style>
  <w:style w:type="paragraph" w:customStyle="1" w:styleId="a0">
    <w:name w:val="a."/>
    <w:basedOn w:val="Normal"/>
    <w:link w:val="aChar0"/>
    <w:rsid w:val="00D92588"/>
    <w:pPr>
      <w:tabs>
        <w:tab w:val="left" w:pos="907"/>
        <w:tab w:val="left" w:pos="4500"/>
        <w:tab w:val="left" w:pos="4680"/>
        <w:tab w:val="left" w:pos="4860"/>
        <w:tab w:val="left" w:pos="5040"/>
        <w:tab w:val="left" w:pos="7200"/>
      </w:tabs>
      <w:spacing w:after="120" w:line="240" w:lineRule="auto"/>
      <w:ind w:firstLine="547"/>
      <w:jc w:val="both"/>
      <w:outlineLvl w:val="5"/>
    </w:pPr>
    <w:rPr>
      <w:rFonts w:ascii="Times New Roman" w:eastAsia="Times New Roman" w:hAnsi="Times New Roman" w:cs="Times New Roman"/>
      <w:kern w:val="2"/>
      <w:sz w:val="20"/>
      <w:szCs w:val="20"/>
    </w:rPr>
  </w:style>
  <w:style w:type="character" w:customStyle="1" w:styleId="aChar0">
    <w:name w:val="a. Char"/>
    <w:basedOn w:val="DefaultParagraphFont"/>
    <w:link w:val="a0"/>
    <w:rsid w:val="00D92588"/>
    <w:rPr>
      <w:rFonts w:ascii="Times New Roman" w:eastAsia="Times New Roman" w:hAnsi="Times New Roman" w:cs="Times New Roman"/>
      <w:kern w:val="2"/>
      <w:sz w:val="20"/>
      <w:szCs w:val="20"/>
    </w:rPr>
  </w:style>
  <w:style w:type="paragraph" w:customStyle="1" w:styleId="Default">
    <w:name w:val="Default"/>
    <w:rsid w:val="00EC70F0"/>
    <w:pPr>
      <w:autoSpaceDE w:val="0"/>
      <w:autoSpaceDN w:val="0"/>
      <w:adjustRightInd w:val="0"/>
      <w:spacing w:after="0" w:line="240" w:lineRule="auto"/>
    </w:pPr>
    <w:rPr>
      <w:rFonts w:ascii="Times New Roman" w:hAnsi="Times New Roman" w:cs="Times New Roman"/>
      <w:color w:val="000000"/>
    </w:rPr>
  </w:style>
  <w:style w:type="paragraph" w:styleId="ListParagraph">
    <w:name w:val="List Paragraph"/>
    <w:basedOn w:val="Normal"/>
    <w:uiPriority w:val="34"/>
    <w:qFormat/>
    <w:rsid w:val="007F1F9D"/>
    <w:pPr>
      <w:ind w:left="720"/>
      <w:contextualSpacing/>
    </w:pPr>
  </w:style>
  <w:style w:type="paragraph" w:customStyle="1" w:styleId="i">
    <w:name w:val="i."/>
    <w:basedOn w:val="Normal"/>
    <w:rsid w:val="00452FD8"/>
    <w:pPr>
      <w:tabs>
        <w:tab w:val="decimal" w:pos="720"/>
        <w:tab w:val="left" w:pos="1080"/>
        <w:tab w:val="left" w:pos="4500"/>
        <w:tab w:val="left" w:pos="4680"/>
        <w:tab w:val="left" w:pos="4860"/>
        <w:tab w:val="left" w:pos="5040"/>
        <w:tab w:val="left" w:pos="7200"/>
      </w:tabs>
      <w:spacing w:after="120" w:line="240" w:lineRule="auto"/>
      <w:jc w:val="both"/>
      <w:outlineLvl w:val="5"/>
    </w:pPr>
    <w:rPr>
      <w:rFonts w:ascii="Times New Roman" w:eastAsia="Times New Roman" w:hAnsi="Times New Roman" w:cs="Times New Roman"/>
      <w:kern w:val="2"/>
      <w:sz w:val="20"/>
      <w:szCs w:val="20"/>
    </w:rPr>
  </w:style>
  <w:style w:type="paragraph" w:styleId="Header">
    <w:name w:val="header"/>
    <w:basedOn w:val="Normal"/>
    <w:link w:val="HeaderChar"/>
    <w:uiPriority w:val="99"/>
    <w:unhideWhenUsed/>
    <w:rsid w:val="00AE66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66BB"/>
  </w:style>
  <w:style w:type="paragraph" w:styleId="Footer">
    <w:name w:val="footer"/>
    <w:basedOn w:val="Normal"/>
    <w:link w:val="FooterChar"/>
    <w:uiPriority w:val="99"/>
    <w:unhideWhenUsed/>
    <w:rsid w:val="00AE66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66BB"/>
  </w:style>
  <w:style w:type="paragraph" w:customStyle="1" w:styleId="WPNormal">
    <w:name w:val="WP_Normal"/>
    <w:basedOn w:val="Normal"/>
    <w:rsid w:val="003352E6"/>
    <w:pPr>
      <w:widowControl w:val="0"/>
      <w:autoSpaceDE w:val="0"/>
      <w:autoSpaceDN w:val="0"/>
      <w:spacing w:after="0" w:line="240" w:lineRule="auto"/>
      <w:jc w:val="both"/>
    </w:pPr>
    <w:rPr>
      <w:rFonts w:ascii="New Century Schlbk" w:eastAsia="Times New Roman" w:hAnsi="New Century Schlbk" w:cs="Times New Roman"/>
      <w:color w:val="000000"/>
      <w:szCs w:val="20"/>
    </w:rPr>
  </w:style>
  <w:style w:type="paragraph" w:styleId="NormalWeb">
    <w:name w:val="Normal (Web)"/>
    <w:basedOn w:val="Normal"/>
    <w:uiPriority w:val="99"/>
    <w:unhideWhenUsed/>
    <w:rsid w:val="00CC7FAC"/>
    <w:pPr>
      <w:spacing w:before="100" w:beforeAutospacing="1" w:after="100" w:afterAutospacing="1"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9345">
      <w:bodyDiv w:val="1"/>
      <w:marLeft w:val="0"/>
      <w:marRight w:val="0"/>
      <w:marTop w:val="0"/>
      <w:marBottom w:val="0"/>
      <w:divBdr>
        <w:top w:val="none" w:sz="0" w:space="0" w:color="auto"/>
        <w:left w:val="none" w:sz="0" w:space="0" w:color="auto"/>
        <w:bottom w:val="none" w:sz="0" w:space="0" w:color="auto"/>
        <w:right w:val="none" w:sz="0" w:space="0" w:color="auto"/>
      </w:divBdr>
    </w:div>
    <w:div w:id="167062342">
      <w:bodyDiv w:val="1"/>
      <w:marLeft w:val="0"/>
      <w:marRight w:val="0"/>
      <w:marTop w:val="0"/>
      <w:marBottom w:val="0"/>
      <w:divBdr>
        <w:top w:val="none" w:sz="0" w:space="0" w:color="auto"/>
        <w:left w:val="none" w:sz="0" w:space="0" w:color="auto"/>
        <w:bottom w:val="none" w:sz="0" w:space="0" w:color="auto"/>
        <w:right w:val="none" w:sz="0" w:space="0" w:color="auto"/>
      </w:divBdr>
    </w:div>
    <w:div w:id="233197937">
      <w:bodyDiv w:val="1"/>
      <w:marLeft w:val="0"/>
      <w:marRight w:val="0"/>
      <w:marTop w:val="0"/>
      <w:marBottom w:val="0"/>
      <w:divBdr>
        <w:top w:val="none" w:sz="0" w:space="0" w:color="auto"/>
        <w:left w:val="none" w:sz="0" w:space="0" w:color="auto"/>
        <w:bottom w:val="none" w:sz="0" w:space="0" w:color="auto"/>
        <w:right w:val="none" w:sz="0" w:space="0" w:color="auto"/>
      </w:divBdr>
    </w:div>
    <w:div w:id="239758672">
      <w:bodyDiv w:val="1"/>
      <w:marLeft w:val="0"/>
      <w:marRight w:val="0"/>
      <w:marTop w:val="0"/>
      <w:marBottom w:val="0"/>
      <w:divBdr>
        <w:top w:val="none" w:sz="0" w:space="0" w:color="auto"/>
        <w:left w:val="none" w:sz="0" w:space="0" w:color="auto"/>
        <w:bottom w:val="none" w:sz="0" w:space="0" w:color="auto"/>
        <w:right w:val="none" w:sz="0" w:space="0" w:color="auto"/>
      </w:divBdr>
    </w:div>
    <w:div w:id="241137733">
      <w:bodyDiv w:val="1"/>
      <w:marLeft w:val="0"/>
      <w:marRight w:val="0"/>
      <w:marTop w:val="0"/>
      <w:marBottom w:val="0"/>
      <w:divBdr>
        <w:top w:val="none" w:sz="0" w:space="0" w:color="auto"/>
        <w:left w:val="none" w:sz="0" w:space="0" w:color="auto"/>
        <w:bottom w:val="none" w:sz="0" w:space="0" w:color="auto"/>
        <w:right w:val="none" w:sz="0" w:space="0" w:color="auto"/>
      </w:divBdr>
    </w:div>
    <w:div w:id="243611516">
      <w:bodyDiv w:val="1"/>
      <w:marLeft w:val="0"/>
      <w:marRight w:val="0"/>
      <w:marTop w:val="0"/>
      <w:marBottom w:val="0"/>
      <w:divBdr>
        <w:top w:val="none" w:sz="0" w:space="0" w:color="auto"/>
        <w:left w:val="none" w:sz="0" w:space="0" w:color="auto"/>
        <w:bottom w:val="none" w:sz="0" w:space="0" w:color="auto"/>
        <w:right w:val="none" w:sz="0" w:space="0" w:color="auto"/>
      </w:divBdr>
    </w:div>
    <w:div w:id="267199871">
      <w:bodyDiv w:val="1"/>
      <w:marLeft w:val="0"/>
      <w:marRight w:val="0"/>
      <w:marTop w:val="0"/>
      <w:marBottom w:val="0"/>
      <w:divBdr>
        <w:top w:val="none" w:sz="0" w:space="0" w:color="auto"/>
        <w:left w:val="none" w:sz="0" w:space="0" w:color="auto"/>
        <w:bottom w:val="none" w:sz="0" w:space="0" w:color="auto"/>
        <w:right w:val="none" w:sz="0" w:space="0" w:color="auto"/>
      </w:divBdr>
    </w:div>
    <w:div w:id="280377896">
      <w:bodyDiv w:val="1"/>
      <w:marLeft w:val="0"/>
      <w:marRight w:val="0"/>
      <w:marTop w:val="0"/>
      <w:marBottom w:val="0"/>
      <w:divBdr>
        <w:top w:val="none" w:sz="0" w:space="0" w:color="auto"/>
        <w:left w:val="none" w:sz="0" w:space="0" w:color="auto"/>
        <w:bottom w:val="none" w:sz="0" w:space="0" w:color="auto"/>
        <w:right w:val="none" w:sz="0" w:space="0" w:color="auto"/>
      </w:divBdr>
    </w:div>
    <w:div w:id="366490606">
      <w:bodyDiv w:val="1"/>
      <w:marLeft w:val="0"/>
      <w:marRight w:val="0"/>
      <w:marTop w:val="0"/>
      <w:marBottom w:val="0"/>
      <w:divBdr>
        <w:top w:val="none" w:sz="0" w:space="0" w:color="auto"/>
        <w:left w:val="none" w:sz="0" w:space="0" w:color="auto"/>
        <w:bottom w:val="none" w:sz="0" w:space="0" w:color="auto"/>
        <w:right w:val="none" w:sz="0" w:space="0" w:color="auto"/>
      </w:divBdr>
    </w:div>
    <w:div w:id="582955272">
      <w:bodyDiv w:val="1"/>
      <w:marLeft w:val="0"/>
      <w:marRight w:val="0"/>
      <w:marTop w:val="0"/>
      <w:marBottom w:val="0"/>
      <w:divBdr>
        <w:top w:val="none" w:sz="0" w:space="0" w:color="auto"/>
        <w:left w:val="none" w:sz="0" w:space="0" w:color="auto"/>
        <w:bottom w:val="none" w:sz="0" w:space="0" w:color="auto"/>
        <w:right w:val="none" w:sz="0" w:space="0" w:color="auto"/>
      </w:divBdr>
    </w:div>
    <w:div w:id="823663452">
      <w:bodyDiv w:val="1"/>
      <w:marLeft w:val="0"/>
      <w:marRight w:val="0"/>
      <w:marTop w:val="0"/>
      <w:marBottom w:val="0"/>
      <w:divBdr>
        <w:top w:val="none" w:sz="0" w:space="0" w:color="auto"/>
        <w:left w:val="none" w:sz="0" w:space="0" w:color="auto"/>
        <w:bottom w:val="none" w:sz="0" w:space="0" w:color="auto"/>
        <w:right w:val="none" w:sz="0" w:space="0" w:color="auto"/>
      </w:divBdr>
    </w:div>
    <w:div w:id="851916044">
      <w:bodyDiv w:val="1"/>
      <w:marLeft w:val="0"/>
      <w:marRight w:val="0"/>
      <w:marTop w:val="0"/>
      <w:marBottom w:val="0"/>
      <w:divBdr>
        <w:top w:val="none" w:sz="0" w:space="0" w:color="auto"/>
        <w:left w:val="none" w:sz="0" w:space="0" w:color="auto"/>
        <w:bottom w:val="none" w:sz="0" w:space="0" w:color="auto"/>
        <w:right w:val="none" w:sz="0" w:space="0" w:color="auto"/>
      </w:divBdr>
    </w:div>
    <w:div w:id="867334252">
      <w:bodyDiv w:val="1"/>
      <w:marLeft w:val="0"/>
      <w:marRight w:val="0"/>
      <w:marTop w:val="0"/>
      <w:marBottom w:val="0"/>
      <w:divBdr>
        <w:top w:val="none" w:sz="0" w:space="0" w:color="auto"/>
        <w:left w:val="none" w:sz="0" w:space="0" w:color="auto"/>
        <w:bottom w:val="none" w:sz="0" w:space="0" w:color="auto"/>
        <w:right w:val="none" w:sz="0" w:space="0" w:color="auto"/>
      </w:divBdr>
    </w:div>
    <w:div w:id="981614586">
      <w:bodyDiv w:val="1"/>
      <w:marLeft w:val="0"/>
      <w:marRight w:val="0"/>
      <w:marTop w:val="0"/>
      <w:marBottom w:val="0"/>
      <w:divBdr>
        <w:top w:val="none" w:sz="0" w:space="0" w:color="auto"/>
        <w:left w:val="none" w:sz="0" w:space="0" w:color="auto"/>
        <w:bottom w:val="none" w:sz="0" w:space="0" w:color="auto"/>
        <w:right w:val="none" w:sz="0" w:space="0" w:color="auto"/>
      </w:divBdr>
    </w:div>
    <w:div w:id="1126779574">
      <w:bodyDiv w:val="1"/>
      <w:marLeft w:val="0"/>
      <w:marRight w:val="0"/>
      <w:marTop w:val="0"/>
      <w:marBottom w:val="0"/>
      <w:divBdr>
        <w:top w:val="none" w:sz="0" w:space="0" w:color="auto"/>
        <w:left w:val="none" w:sz="0" w:space="0" w:color="auto"/>
        <w:bottom w:val="none" w:sz="0" w:space="0" w:color="auto"/>
        <w:right w:val="none" w:sz="0" w:space="0" w:color="auto"/>
      </w:divBdr>
    </w:div>
    <w:div w:id="1137798191">
      <w:bodyDiv w:val="1"/>
      <w:marLeft w:val="0"/>
      <w:marRight w:val="0"/>
      <w:marTop w:val="0"/>
      <w:marBottom w:val="0"/>
      <w:divBdr>
        <w:top w:val="none" w:sz="0" w:space="0" w:color="auto"/>
        <w:left w:val="none" w:sz="0" w:space="0" w:color="auto"/>
        <w:bottom w:val="none" w:sz="0" w:space="0" w:color="auto"/>
        <w:right w:val="none" w:sz="0" w:space="0" w:color="auto"/>
      </w:divBdr>
    </w:div>
    <w:div w:id="1150830360">
      <w:bodyDiv w:val="1"/>
      <w:marLeft w:val="0"/>
      <w:marRight w:val="0"/>
      <w:marTop w:val="0"/>
      <w:marBottom w:val="0"/>
      <w:divBdr>
        <w:top w:val="none" w:sz="0" w:space="0" w:color="auto"/>
        <w:left w:val="none" w:sz="0" w:space="0" w:color="auto"/>
        <w:bottom w:val="none" w:sz="0" w:space="0" w:color="auto"/>
        <w:right w:val="none" w:sz="0" w:space="0" w:color="auto"/>
      </w:divBdr>
    </w:div>
    <w:div w:id="1171339433">
      <w:bodyDiv w:val="1"/>
      <w:marLeft w:val="0"/>
      <w:marRight w:val="0"/>
      <w:marTop w:val="0"/>
      <w:marBottom w:val="0"/>
      <w:divBdr>
        <w:top w:val="none" w:sz="0" w:space="0" w:color="auto"/>
        <w:left w:val="none" w:sz="0" w:space="0" w:color="auto"/>
        <w:bottom w:val="none" w:sz="0" w:space="0" w:color="auto"/>
        <w:right w:val="none" w:sz="0" w:space="0" w:color="auto"/>
      </w:divBdr>
    </w:div>
    <w:div w:id="1267932723">
      <w:bodyDiv w:val="1"/>
      <w:marLeft w:val="0"/>
      <w:marRight w:val="0"/>
      <w:marTop w:val="0"/>
      <w:marBottom w:val="0"/>
      <w:divBdr>
        <w:top w:val="none" w:sz="0" w:space="0" w:color="auto"/>
        <w:left w:val="none" w:sz="0" w:space="0" w:color="auto"/>
        <w:bottom w:val="none" w:sz="0" w:space="0" w:color="auto"/>
        <w:right w:val="none" w:sz="0" w:space="0" w:color="auto"/>
      </w:divBdr>
    </w:div>
    <w:div w:id="1301693483">
      <w:bodyDiv w:val="1"/>
      <w:marLeft w:val="0"/>
      <w:marRight w:val="0"/>
      <w:marTop w:val="0"/>
      <w:marBottom w:val="0"/>
      <w:divBdr>
        <w:top w:val="none" w:sz="0" w:space="0" w:color="auto"/>
        <w:left w:val="none" w:sz="0" w:space="0" w:color="auto"/>
        <w:bottom w:val="none" w:sz="0" w:space="0" w:color="auto"/>
        <w:right w:val="none" w:sz="0" w:space="0" w:color="auto"/>
      </w:divBdr>
    </w:div>
    <w:div w:id="1320226771">
      <w:bodyDiv w:val="1"/>
      <w:marLeft w:val="0"/>
      <w:marRight w:val="0"/>
      <w:marTop w:val="0"/>
      <w:marBottom w:val="0"/>
      <w:divBdr>
        <w:top w:val="none" w:sz="0" w:space="0" w:color="auto"/>
        <w:left w:val="none" w:sz="0" w:space="0" w:color="auto"/>
        <w:bottom w:val="none" w:sz="0" w:space="0" w:color="auto"/>
        <w:right w:val="none" w:sz="0" w:space="0" w:color="auto"/>
      </w:divBdr>
    </w:div>
    <w:div w:id="1370842258">
      <w:bodyDiv w:val="1"/>
      <w:marLeft w:val="0"/>
      <w:marRight w:val="0"/>
      <w:marTop w:val="0"/>
      <w:marBottom w:val="0"/>
      <w:divBdr>
        <w:top w:val="none" w:sz="0" w:space="0" w:color="auto"/>
        <w:left w:val="none" w:sz="0" w:space="0" w:color="auto"/>
        <w:bottom w:val="none" w:sz="0" w:space="0" w:color="auto"/>
        <w:right w:val="none" w:sz="0" w:space="0" w:color="auto"/>
      </w:divBdr>
    </w:div>
    <w:div w:id="1702125740">
      <w:bodyDiv w:val="1"/>
      <w:marLeft w:val="0"/>
      <w:marRight w:val="0"/>
      <w:marTop w:val="0"/>
      <w:marBottom w:val="0"/>
      <w:divBdr>
        <w:top w:val="none" w:sz="0" w:space="0" w:color="auto"/>
        <w:left w:val="none" w:sz="0" w:space="0" w:color="auto"/>
        <w:bottom w:val="none" w:sz="0" w:space="0" w:color="auto"/>
        <w:right w:val="none" w:sz="0" w:space="0" w:color="auto"/>
      </w:divBdr>
    </w:div>
    <w:div w:id="1707826537">
      <w:bodyDiv w:val="1"/>
      <w:marLeft w:val="0"/>
      <w:marRight w:val="0"/>
      <w:marTop w:val="0"/>
      <w:marBottom w:val="0"/>
      <w:divBdr>
        <w:top w:val="none" w:sz="0" w:space="0" w:color="auto"/>
        <w:left w:val="none" w:sz="0" w:space="0" w:color="auto"/>
        <w:bottom w:val="none" w:sz="0" w:space="0" w:color="auto"/>
        <w:right w:val="none" w:sz="0" w:space="0" w:color="auto"/>
      </w:divBdr>
    </w:div>
    <w:div w:id="1816795951">
      <w:bodyDiv w:val="1"/>
      <w:marLeft w:val="0"/>
      <w:marRight w:val="0"/>
      <w:marTop w:val="0"/>
      <w:marBottom w:val="0"/>
      <w:divBdr>
        <w:top w:val="none" w:sz="0" w:space="0" w:color="auto"/>
        <w:left w:val="none" w:sz="0" w:space="0" w:color="auto"/>
        <w:bottom w:val="none" w:sz="0" w:space="0" w:color="auto"/>
        <w:right w:val="none" w:sz="0" w:space="0" w:color="auto"/>
      </w:divBdr>
    </w:div>
    <w:div w:id="1819568076">
      <w:bodyDiv w:val="1"/>
      <w:marLeft w:val="0"/>
      <w:marRight w:val="0"/>
      <w:marTop w:val="0"/>
      <w:marBottom w:val="0"/>
      <w:divBdr>
        <w:top w:val="none" w:sz="0" w:space="0" w:color="auto"/>
        <w:left w:val="none" w:sz="0" w:space="0" w:color="auto"/>
        <w:bottom w:val="none" w:sz="0" w:space="0" w:color="auto"/>
        <w:right w:val="none" w:sz="0" w:space="0" w:color="auto"/>
      </w:divBdr>
    </w:div>
    <w:div w:id="1819610337">
      <w:bodyDiv w:val="1"/>
      <w:marLeft w:val="0"/>
      <w:marRight w:val="0"/>
      <w:marTop w:val="0"/>
      <w:marBottom w:val="0"/>
      <w:divBdr>
        <w:top w:val="none" w:sz="0" w:space="0" w:color="auto"/>
        <w:left w:val="none" w:sz="0" w:space="0" w:color="auto"/>
        <w:bottom w:val="none" w:sz="0" w:space="0" w:color="auto"/>
        <w:right w:val="none" w:sz="0" w:space="0" w:color="auto"/>
      </w:divBdr>
    </w:div>
    <w:div w:id="1879007179">
      <w:bodyDiv w:val="1"/>
      <w:marLeft w:val="0"/>
      <w:marRight w:val="0"/>
      <w:marTop w:val="0"/>
      <w:marBottom w:val="0"/>
      <w:divBdr>
        <w:top w:val="none" w:sz="0" w:space="0" w:color="auto"/>
        <w:left w:val="none" w:sz="0" w:space="0" w:color="auto"/>
        <w:bottom w:val="none" w:sz="0" w:space="0" w:color="auto"/>
        <w:right w:val="none" w:sz="0" w:space="0" w:color="auto"/>
      </w:divBdr>
    </w:div>
    <w:div w:id="2006545392">
      <w:bodyDiv w:val="1"/>
      <w:marLeft w:val="0"/>
      <w:marRight w:val="0"/>
      <w:marTop w:val="0"/>
      <w:marBottom w:val="0"/>
      <w:divBdr>
        <w:top w:val="none" w:sz="0" w:space="0" w:color="auto"/>
        <w:left w:val="none" w:sz="0" w:space="0" w:color="auto"/>
        <w:bottom w:val="none" w:sz="0" w:space="0" w:color="auto"/>
        <w:right w:val="none" w:sz="0" w:space="0" w:color="auto"/>
      </w:divBdr>
    </w:div>
    <w:div w:id="2026206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E3481-0C07-4430-94B4-2487F2E09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1052</Words>
  <Characters>6003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LSBD</Company>
  <LinksUpToDate>false</LinksUpToDate>
  <CharactersWithSpaces>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Erin Conner</dc:creator>
  <cp:lastModifiedBy>Rachel Daniel</cp:lastModifiedBy>
  <cp:revision>3</cp:revision>
  <cp:lastPrinted>2024-01-19T17:03:00Z</cp:lastPrinted>
  <dcterms:created xsi:type="dcterms:W3CDTF">2026-01-16T21:22:00Z</dcterms:created>
  <dcterms:modified xsi:type="dcterms:W3CDTF">2026-02-03T21:54:00Z</dcterms:modified>
</cp:coreProperties>
</file>